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536C" w:rsidRDefault="004A536C" w:rsidP="004A536C">
      <w:pPr>
        <w:pStyle w:val="a5"/>
        <w:jc w:val="center"/>
      </w:pPr>
      <w:r w:rsidRPr="0012560F">
        <w:rPr>
          <w:noProof/>
        </w:rPr>
        <w:drawing>
          <wp:inline distT="0" distB="0" distL="0" distR="0" wp14:anchorId="53FD7BDD" wp14:editId="3E85C219">
            <wp:extent cx="525145" cy="621030"/>
            <wp:effectExtent l="0" t="0" r="8255" b="7620"/>
            <wp:docPr id="2" name="תמונה 2" descr="sem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1" descr="semel"/>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145" cy="621030"/>
                    </a:xfrm>
                    <a:prstGeom prst="rect">
                      <a:avLst/>
                    </a:prstGeom>
                    <a:noFill/>
                    <a:ln>
                      <a:noFill/>
                    </a:ln>
                  </pic:spPr>
                </pic:pic>
              </a:graphicData>
            </a:graphic>
          </wp:inline>
        </w:drawing>
      </w:r>
    </w:p>
    <w:p w:rsidR="004A536C" w:rsidRPr="00A964EC" w:rsidRDefault="004A536C" w:rsidP="004A536C">
      <w:pPr>
        <w:tabs>
          <w:tab w:val="left" w:pos="800"/>
        </w:tabs>
        <w:jc w:val="center"/>
        <w:rPr>
          <w:rFonts w:ascii="Arial TUR" w:hAnsi="Arial TUR" w:cs="David"/>
          <w:b/>
          <w:bCs/>
          <w:color w:val="000080"/>
          <w:sz w:val="28"/>
          <w:szCs w:val="32"/>
          <w:rtl/>
        </w:rPr>
      </w:pPr>
      <w:r w:rsidRPr="00A964EC">
        <w:rPr>
          <w:rFonts w:ascii="Arial TUR" w:hAnsi="Arial TUR" w:cs="David" w:hint="cs"/>
          <w:b/>
          <w:bCs/>
          <w:color w:val="000080"/>
          <w:sz w:val="28"/>
          <w:szCs w:val="32"/>
          <w:rtl/>
        </w:rPr>
        <w:t>בית המשפט העליון</w:t>
      </w:r>
    </w:p>
    <w:p w:rsidR="004A536C" w:rsidRDefault="004A536C" w:rsidP="004A536C">
      <w:pPr>
        <w:pStyle w:val="Ruller4"/>
        <w:numPr>
          <w:ilvl w:val="0"/>
          <w:numId w:val="0"/>
        </w:numPr>
        <w:ind w:left="141"/>
        <w:jc w:val="center"/>
        <w:rPr>
          <w:rFonts w:ascii="FrankRuehl" w:hAnsi="FrankRuehl" w:cs="David"/>
          <w:bCs/>
          <w:spacing w:val="0"/>
          <w:sz w:val="28"/>
          <w:u w:val="single"/>
          <w:rtl/>
        </w:rPr>
      </w:pPr>
    </w:p>
    <w:p w:rsidR="004A536C" w:rsidRPr="004A536C" w:rsidRDefault="004A536C" w:rsidP="004A536C">
      <w:pPr>
        <w:pStyle w:val="Ruller4"/>
        <w:numPr>
          <w:ilvl w:val="0"/>
          <w:numId w:val="0"/>
        </w:numPr>
        <w:ind w:left="141"/>
        <w:jc w:val="center"/>
        <w:rPr>
          <w:rFonts w:ascii="FrankRuehl" w:hAnsi="FrankRuehl" w:cs="David"/>
          <w:bCs/>
          <w:spacing w:val="0"/>
          <w:sz w:val="28"/>
          <w:u w:val="single"/>
          <w:rtl/>
        </w:rPr>
      </w:pPr>
      <w:r>
        <w:rPr>
          <w:rFonts w:ascii="FrankRuehl" w:hAnsi="FrankRuehl" w:cs="David" w:hint="cs"/>
          <w:bCs/>
          <w:spacing w:val="0"/>
          <w:sz w:val="28"/>
          <w:u w:val="single"/>
          <w:rtl/>
        </w:rPr>
        <w:t xml:space="preserve">בג"ץ 6942/19 </w:t>
      </w:r>
      <w:proofErr w:type="spellStart"/>
      <w:r>
        <w:rPr>
          <w:rFonts w:ascii="FrankRuehl" w:hAnsi="FrankRuehl" w:cs="David" w:hint="cs"/>
          <w:bCs/>
          <w:spacing w:val="0"/>
          <w:sz w:val="28"/>
          <w:u w:val="single"/>
          <w:rtl/>
        </w:rPr>
        <w:t>צ'באנו</w:t>
      </w:r>
      <w:proofErr w:type="spellEnd"/>
      <w:r>
        <w:rPr>
          <w:rFonts w:ascii="FrankRuehl" w:hAnsi="FrankRuehl" w:cs="David" w:hint="cs"/>
          <w:bCs/>
          <w:spacing w:val="0"/>
          <w:sz w:val="28"/>
          <w:u w:val="single"/>
          <w:rtl/>
        </w:rPr>
        <w:t xml:space="preserve"> נ' שר הפנים ובג"ץ 6948/19 </w:t>
      </w:r>
      <w:proofErr w:type="spellStart"/>
      <w:r w:rsidRPr="004A536C">
        <w:rPr>
          <w:b/>
          <w:bCs/>
          <w:sz w:val="26"/>
          <w:szCs w:val="26"/>
          <w:u w:val="single"/>
        </w:rPr>
        <w:t>Longjun</w:t>
      </w:r>
      <w:proofErr w:type="spellEnd"/>
      <w:r>
        <w:rPr>
          <w:rFonts w:ascii="FrankRuehl" w:hAnsi="FrankRuehl" w:cs="David" w:hint="cs"/>
          <w:bCs/>
          <w:spacing w:val="0"/>
          <w:sz w:val="28"/>
          <w:u w:val="single"/>
          <w:rtl/>
        </w:rPr>
        <w:t xml:space="preserve"> נ' שר הפנים</w:t>
      </w:r>
    </w:p>
    <w:p w:rsidR="004A536C" w:rsidRPr="007B51DB" w:rsidRDefault="004A536C" w:rsidP="004A536C">
      <w:pPr>
        <w:tabs>
          <w:tab w:val="left" w:pos="800"/>
        </w:tabs>
        <w:jc w:val="both"/>
        <w:rPr>
          <w:rFonts w:cs="David"/>
          <w:b/>
          <w:bCs/>
          <w:sz w:val="28"/>
          <w:u w:val="single"/>
          <w:rtl/>
        </w:rPr>
      </w:pPr>
    </w:p>
    <w:p w:rsidR="004A536C" w:rsidRPr="00036EEF" w:rsidRDefault="004A536C" w:rsidP="00C02314">
      <w:pPr>
        <w:tabs>
          <w:tab w:val="left" w:pos="800"/>
        </w:tabs>
        <w:jc w:val="both"/>
        <w:rPr>
          <w:rFonts w:cs="David"/>
          <w:sz w:val="24"/>
          <w:szCs w:val="24"/>
          <w:rtl/>
        </w:rPr>
      </w:pPr>
      <w:r w:rsidRPr="007B51DB">
        <w:rPr>
          <w:rFonts w:cs="David" w:hint="cs"/>
          <w:b/>
          <w:bCs/>
          <w:sz w:val="24"/>
          <w:szCs w:val="24"/>
          <w:u w:val="single"/>
          <w:rtl/>
        </w:rPr>
        <w:t>תאריך מתן פסק הדין</w:t>
      </w:r>
      <w:r w:rsidRPr="007B51DB">
        <w:rPr>
          <w:rFonts w:cs="David" w:hint="cs"/>
          <w:sz w:val="24"/>
          <w:szCs w:val="24"/>
          <w:rtl/>
        </w:rPr>
        <w:t xml:space="preserve">: </w:t>
      </w:r>
      <w:r w:rsidR="00C02314">
        <w:rPr>
          <w:rFonts w:cs="David" w:hint="cs"/>
          <w:sz w:val="24"/>
          <w:szCs w:val="24"/>
          <w:rtl/>
        </w:rPr>
        <w:t xml:space="preserve">כ"ג בתמוז </w:t>
      </w:r>
      <w:proofErr w:type="spellStart"/>
      <w:r w:rsidR="00C02314">
        <w:rPr>
          <w:rFonts w:cs="David" w:hint="cs"/>
          <w:sz w:val="24"/>
          <w:szCs w:val="24"/>
          <w:rtl/>
        </w:rPr>
        <w:t>התשפ"ג</w:t>
      </w:r>
      <w:proofErr w:type="spellEnd"/>
      <w:r w:rsidR="00C02314">
        <w:rPr>
          <w:rFonts w:cs="David" w:hint="cs"/>
          <w:sz w:val="24"/>
          <w:szCs w:val="24"/>
          <w:rtl/>
        </w:rPr>
        <w:t xml:space="preserve"> (12.7.2023)</w:t>
      </w:r>
    </w:p>
    <w:p w:rsidR="004A536C" w:rsidRPr="007B51DB" w:rsidRDefault="004A536C" w:rsidP="004A536C">
      <w:pPr>
        <w:tabs>
          <w:tab w:val="left" w:pos="800"/>
        </w:tabs>
        <w:jc w:val="both"/>
        <w:rPr>
          <w:rFonts w:cs="David"/>
          <w:sz w:val="24"/>
          <w:szCs w:val="24"/>
          <w:rtl/>
        </w:rPr>
      </w:pPr>
    </w:p>
    <w:p w:rsidR="00783C9E" w:rsidRPr="004A536C" w:rsidRDefault="004A536C" w:rsidP="004A536C">
      <w:pPr>
        <w:tabs>
          <w:tab w:val="left" w:pos="800"/>
        </w:tabs>
        <w:jc w:val="both"/>
        <w:rPr>
          <w:rFonts w:cs="David"/>
          <w:sz w:val="24"/>
          <w:szCs w:val="24"/>
          <w:rtl/>
        </w:rPr>
      </w:pPr>
      <w:r w:rsidRPr="007B51DB">
        <w:rPr>
          <w:rFonts w:cs="David" w:hint="cs"/>
          <w:b/>
          <w:bCs/>
          <w:sz w:val="24"/>
          <w:szCs w:val="24"/>
          <w:u w:val="single"/>
          <w:rtl/>
        </w:rPr>
        <w:t>שופטי ההרכב</w:t>
      </w:r>
      <w:r w:rsidRPr="007B51DB">
        <w:rPr>
          <w:rFonts w:cs="David" w:hint="cs"/>
          <w:sz w:val="24"/>
          <w:szCs w:val="24"/>
          <w:rtl/>
        </w:rPr>
        <w:t xml:space="preserve">: </w:t>
      </w:r>
      <w:r>
        <w:rPr>
          <w:rFonts w:cs="David" w:hint="cs"/>
          <w:sz w:val="24"/>
          <w:szCs w:val="24"/>
          <w:rtl/>
        </w:rPr>
        <w:t xml:space="preserve">הנשיאה חיות, המשנה לנשיאה פוגלמן </w:t>
      </w:r>
      <w:r w:rsidRPr="007B51DB">
        <w:rPr>
          <w:rFonts w:cs="David" w:hint="cs"/>
          <w:sz w:val="24"/>
          <w:szCs w:val="24"/>
          <w:rtl/>
        </w:rPr>
        <w:t xml:space="preserve">והשופטים </w:t>
      </w:r>
      <w:r>
        <w:rPr>
          <w:rFonts w:cs="David" w:hint="cs"/>
          <w:sz w:val="24"/>
          <w:szCs w:val="24"/>
          <w:rtl/>
        </w:rPr>
        <w:t xml:space="preserve">עמית, סולברג, ברק-ארז, ברון </w:t>
      </w:r>
      <w:proofErr w:type="spellStart"/>
      <w:r>
        <w:rPr>
          <w:rFonts w:cs="David" w:hint="cs"/>
          <w:sz w:val="24"/>
          <w:szCs w:val="24"/>
          <w:rtl/>
        </w:rPr>
        <w:t>וגרוסקופף</w:t>
      </w:r>
      <w:proofErr w:type="spellEnd"/>
      <w:r>
        <w:rPr>
          <w:rFonts w:cs="David" w:hint="cs"/>
          <w:sz w:val="24"/>
          <w:szCs w:val="24"/>
          <w:rtl/>
        </w:rPr>
        <w:t xml:space="preserve">. </w:t>
      </w:r>
    </w:p>
    <w:p w:rsidR="004A536C" w:rsidRDefault="004A536C" w:rsidP="00783C9E">
      <w:pPr>
        <w:pStyle w:val="Ruller41"/>
        <w:rPr>
          <w:rFonts w:ascii="David" w:hAnsi="David" w:cs="David"/>
          <w:b/>
          <w:bCs/>
          <w:sz w:val="24"/>
          <w:szCs w:val="24"/>
          <w:rtl/>
        </w:rPr>
      </w:pPr>
    </w:p>
    <w:p w:rsidR="00783C9E" w:rsidRPr="00783C9E" w:rsidRDefault="00783C9E" w:rsidP="003F3F78">
      <w:pPr>
        <w:pStyle w:val="Ruller41"/>
        <w:rPr>
          <w:rFonts w:ascii="David" w:hAnsi="David" w:cs="David"/>
          <w:b/>
          <w:bCs/>
          <w:sz w:val="24"/>
          <w:szCs w:val="24"/>
          <w:rtl/>
        </w:rPr>
      </w:pPr>
      <w:r w:rsidRPr="00783C9E">
        <w:rPr>
          <w:rFonts w:ascii="David" w:hAnsi="David" w:cs="David"/>
          <w:b/>
          <w:bCs/>
          <w:sz w:val="24"/>
          <w:szCs w:val="24"/>
          <w:rtl/>
        </w:rPr>
        <w:t xml:space="preserve">בית המשפט העליון קבע היום כי </w:t>
      </w:r>
      <w:r w:rsidR="008F1243">
        <w:rPr>
          <w:rFonts w:ascii="David" w:hAnsi="David" w:cs="David" w:hint="cs"/>
          <w:b/>
          <w:bCs/>
          <w:sz w:val="24"/>
          <w:szCs w:val="24"/>
          <w:rtl/>
        </w:rPr>
        <w:t>הסדר הניכוי</w:t>
      </w:r>
      <w:r w:rsidRPr="00783C9E">
        <w:rPr>
          <w:rFonts w:ascii="David" w:hAnsi="David" w:cs="David"/>
          <w:b/>
          <w:bCs/>
          <w:sz w:val="24"/>
          <w:szCs w:val="24"/>
          <w:rtl/>
        </w:rPr>
        <w:t xml:space="preserve"> שמכוחו </w:t>
      </w:r>
      <w:r w:rsidR="003F3F78">
        <w:rPr>
          <w:rFonts w:ascii="David" w:hAnsi="David" w:cs="David" w:hint="cs"/>
          <w:b/>
          <w:bCs/>
          <w:sz w:val="24"/>
          <w:szCs w:val="24"/>
          <w:rtl/>
        </w:rPr>
        <w:t>עשויות להישלל כלל</w:t>
      </w:r>
      <w:r w:rsidR="003F3F78" w:rsidRPr="00783C9E">
        <w:rPr>
          <w:rFonts w:ascii="David" w:hAnsi="David" w:cs="David"/>
          <w:b/>
          <w:bCs/>
          <w:sz w:val="24"/>
          <w:szCs w:val="24"/>
          <w:rtl/>
        </w:rPr>
        <w:t xml:space="preserve"> </w:t>
      </w:r>
      <w:r w:rsidRPr="00783C9E">
        <w:rPr>
          <w:rFonts w:ascii="David" w:hAnsi="David" w:cs="David"/>
          <w:b/>
          <w:bCs/>
          <w:sz w:val="24"/>
          <w:szCs w:val="24"/>
          <w:rtl/>
        </w:rPr>
        <w:t xml:space="preserve">ההפרשות הסוציאליות שהופקדו </w:t>
      </w:r>
      <w:r w:rsidR="008F1243">
        <w:rPr>
          <w:rFonts w:ascii="David" w:hAnsi="David" w:cs="David"/>
          <w:b/>
          <w:bCs/>
          <w:sz w:val="24"/>
          <w:szCs w:val="24"/>
          <w:rtl/>
        </w:rPr>
        <w:t xml:space="preserve">לטובת עובד זר שעבד בישראל כחוק </w:t>
      </w:r>
      <w:r w:rsidR="008F1243">
        <w:rPr>
          <w:rFonts w:ascii="David" w:hAnsi="David" w:cs="David" w:hint="cs"/>
          <w:b/>
          <w:bCs/>
          <w:sz w:val="24"/>
          <w:szCs w:val="24"/>
          <w:rtl/>
        </w:rPr>
        <w:t xml:space="preserve">אך </w:t>
      </w:r>
      <w:r w:rsidRPr="00783C9E">
        <w:rPr>
          <w:rFonts w:ascii="David" w:hAnsi="David" w:cs="David"/>
          <w:b/>
          <w:bCs/>
          <w:sz w:val="24"/>
          <w:szCs w:val="24"/>
          <w:rtl/>
        </w:rPr>
        <w:t>לא יצא ממנה במועד</w:t>
      </w:r>
      <w:r w:rsidR="00331F43">
        <w:rPr>
          <w:rFonts w:ascii="David" w:hAnsi="David" w:cs="David" w:hint="cs"/>
          <w:b/>
          <w:bCs/>
          <w:sz w:val="24"/>
          <w:szCs w:val="24"/>
          <w:rtl/>
        </w:rPr>
        <w:t xml:space="preserve">, </w:t>
      </w:r>
      <w:r w:rsidRPr="00783C9E">
        <w:rPr>
          <w:rFonts w:ascii="David" w:hAnsi="David" w:cs="David"/>
          <w:b/>
          <w:bCs/>
          <w:sz w:val="24"/>
          <w:szCs w:val="24"/>
          <w:rtl/>
        </w:rPr>
        <w:t>פוגע בזכות</w:t>
      </w:r>
      <w:r w:rsidR="008F1243">
        <w:rPr>
          <w:rFonts w:ascii="David" w:hAnsi="David" w:cs="David" w:hint="cs"/>
          <w:b/>
          <w:bCs/>
          <w:sz w:val="24"/>
          <w:szCs w:val="24"/>
          <w:rtl/>
        </w:rPr>
        <w:t xml:space="preserve"> החוקתית</w:t>
      </w:r>
      <w:r w:rsidRPr="00783C9E">
        <w:rPr>
          <w:rFonts w:ascii="David" w:hAnsi="David" w:cs="David"/>
          <w:b/>
          <w:bCs/>
          <w:sz w:val="24"/>
          <w:szCs w:val="24"/>
          <w:rtl/>
        </w:rPr>
        <w:t xml:space="preserve"> לקניין באופן </w:t>
      </w:r>
      <w:r w:rsidR="008F1243">
        <w:rPr>
          <w:rFonts w:ascii="David" w:hAnsi="David" w:cs="David" w:hint="cs"/>
          <w:b/>
          <w:bCs/>
          <w:sz w:val="24"/>
          <w:szCs w:val="24"/>
          <w:rtl/>
        </w:rPr>
        <w:t>שאינו מידתי</w:t>
      </w:r>
      <w:r w:rsidRPr="00783C9E">
        <w:rPr>
          <w:rFonts w:ascii="David" w:hAnsi="David" w:cs="David"/>
          <w:b/>
          <w:bCs/>
          <w:sz w:val="24"/>
          <w:szCs w:val="24"/>
          <w:rtl/>
        </w:rPr>
        <w:t xml:space="preserve">. בית המשפט </w:t>
      </w:r>
      <w:r w:rsidR="008F1243">
        <w:rPr>
          <w:rFonts w:ascii="David" w:hAnsi="David" w:cs="David" w:hint="cs"/>
          <w:b/>
          <w:bCs/>
          <w:sz w:val="24"/>
          <w:szCs w:val="24"/>
          <w:rtl/>
        </w:rPr>
        <w:t xml:space="preserve">קבע כי על הכנסת והשרים הרלוונטיים לגבש הסדר חלופי בתוך שישה חודשים וככל שלא יגובש הסדר חלופי כאמור, יבוטל הסדר הניכוי. </w:t>
      </w:r>
    </w:p>
    <w:p w:rsidR="00783C9E" w:rsidRPr="00783C9E" w:rsidRDefault="00783C9E" w:rsidP="00180701">
      <w:pPr>
        <w:pStyle w:val="Ruller4"/>
        <w:numPr>
          <w:ilvl w:val="0"/>
          <w:numId w:val="0"/>
        </w:numPr>
        <w:rPr>
          <w:rFonts w:ascii="David" w:hAnsi="David" w:cs="David"/>
          <w:szCs w:val="24"/>
          <w:rtl/>
        </w:rPr>
      </w:pPr>
    </w:p>
    <w:p w:rsidR="00180701" w:rsidRPr="00783C9E" w:rsidRDefault="00B113A8" w:rsidP="00B113A8">
      <w:pPr>
        <w:pStyle w:val="Ruller4"/>
        <w:numPr>
          <w:ilvl w:val="0"/>
          <w:numId w:val="0"/>
        </w:numPr>
        <w:rPr>
          <w:rFonts w:ascii="David" w:hAnsi="David" w:cs="David"/>
          <w:szCs w:val="24"/>
        </w:rPr>
      </w:pPr>
      <w:r>
        <w:rPr>
          <w:rFonts w:ascii="David" w:hAnsi="David" w:cs="David" w:hint="cs"/>
          <w:szCs w:val="24"/>
          <w:rtl/>
        </w:rPr>
        <w:t xml:space="preserve">בהתאם להסדר שנקבע </w:t>
      </w:r>
      <w:r w:rsidR="00084976">
        <w:rPr>
          <w:rFonts w:ascii="David" w:hAnsi="David" w:cs="David" w:hint="cs"/>
          <w:szCs w:val="24"/>
          <w:rtl/>
        </w:rPr>
        <w:t>ב</w:t>
      </w:r>
      <w:r w:rsidR="00AD65D4" w:rsidRPr="00783C9E">
        <w:rPr>
          <w:rFonts w:ascii="David" w:hAnsi="David" w:cs="David"/>
          <w:szCs w:val="24"/>
          <w:rtl/>
        </w:rPr>
        <w:t>חוק עובדים זרים, התשנ"א-1991</w:t>
      </w:r>
      <w:r w:rsidR="00084976">
        <w:rPr>
          <w:rFonts w:ascii="David" w:hAnsi="David" w:cs="David" w:hint="cs"/>
          <w:szCs w:val="24"/>
          <w:rtl/>
        </w:rPr>
        <w:t xml:space="preserve"> ו</w:t>
      </w:r>
      <w:r w:rsidR="00EA6932">
        <w:rPr>
          <w:rFonts w:ascii="David" w:hAnsi="David" w:cs="David" w:hint="cs"/>
          <w:szCs w:val="24"/>
          <w:rtl/>
        </w:rPr>
        <w:t>ב</w:t>
      </w:r>
      <w:r w:rsidR="00AD65D4" w:rsidRPr="00783C9E">
        <w:rPr>
          <w:rFonts w:ascii="David" w:hAnsi="David" w:cs="David"/>
          <w:szCs w:val="24"/>
          <w:rtl/>
        </w:rPr>
        <w:t>תקנות עובדים זרים (פיקדון לעובדים זרים), התשע"ו-2016</w:t>
      </w:r>
      <w:r>
        <w:rPr>
          <w:rFonts w:ascii="David" w:hAnsi="David" w:cs="David" w:hint="cs"/>
          <w:szCs w:val="24"/>
          <w:rtl/>
        </w:rPr>
        <w:t xml:space="preserve">, </w:t>
      </w:r>
      <w:r w:rsidR="00180701" w:rsidRPr="00783C9E">
        <w:rPr>
          <w:rFonts w:ascii="David" w:hAnsi="David" w:cs="David"/>
          <w:szCs w:val="24"/>
          <w:rtl/>
        </w:rPr>
        <w:t xml:space="preserve">מחויב כל מעסיק של </w:t>
      </w:r>
      <w:r w:rsidR="00783C9E" w:rsidRPr="00783C9E">
        <w:rPr>
          <w:rFonts w:ascii="David" w:hAnsi="David" w:cs="David"/>
          <w:szCs w:val="24"/>
          <w:rtl/>
        </w:rPr>
        <w:t>עובד זר</w:t>
      </w:r>
      <w:r w:rsidR="00180701" w:rsidRPr="00783C9E">
        <w:rPr>
          <w:rFonts w:ascii="David" w:hAnsi="David" w:cs="David"/>
          <w:szCs w:val="24"/>
          <w:rtl/>
        </w:rPr>
        <w:t xml:space="preserve"> </w:t>
      </w:r>
      <w:r w:rsidR="0009585E">
        <w:rPr>
          <w:rFonts w:ascii="David" w:hAnsi="David" w:cs="David"/>
          <w:szCs w:val="24"/>
          <w:rtl/>
        </w:rPr>
        <w:t>בענפי</w:t>
      </w:r>
      <w:r w:rsidR="0009585E">
        <w:rPr>
          <w:rFonts w:ascii="David" w:hAnsi="David" w:cs="David" w:hint="cs"/>
          <w:szCs w:val="24"/>
          <w:rtl/>
        </w:rPr>
        <w:t xml:space="preserve"> ה</w:t>
      </w:r>
      <w:r w:rsidR="00783C9E" w:rsidRPr="00783C9E">
        <w:rPr>
          <w:rFonts w:ascii="David" w:hAnsi="David" w:cs="David"/>
          <w:szCs w:val="24"/>
          <w:rtl/>
        </w:rPr>
        <w:t xml:space="preserve">בניין, </w:t>
      </w:r>
      <w:r w:rsidR="0009585E">
        <w:rPr>
          <w:rFonts w:ascii="David" w:hAnsi="David" w:cs="David" w:hint="cs"/>
          <w:szCs w:val="24"/>
          <w:rtl/>
        </w:rPr>
        <w:t>ה</w:t>
      </w:r>
      <w:r w:rsidR="00783C9E" w:rsidRPr="00783C9E">
        <w:rPr>
          <w:rFonts w:ascii="David" w:hAnsi="David" w:cs="David"/>
          <w:szCs w:val="24"/>
          <w:rtl/>
        </w:rPr>
        <w:t xml:space="preserve">טכנולוגיה </w:t>
      </w:r>
      <w:r w:rsidR="0009585E">
        <w:rPr>
          <w:rFonts w:ascii="David" w:hAnsi="David" w:cs="David" w:hint="cs"/>
          <w:szCs w:val="24"/>
          <w:rtl/>
        </w:rPr>
        <w:t>ה</w:t>
      </w:r>
      <w:r w:rsidR="00783C9E" w:rsidRPr="00783C9E">
        <w:rPr>
          <w:rFonts w:ascii="David" w:hAnsi="David" w:cs="David"/>
          <w:szCs w:val="24"/>
          <w:rtl/>
        </w:rPr>
        <w:t xml:space="preserve">ייחודית, מוסדות </w:t>
      </w:r>
      <w:r w:rsidR="0009585E">
        <w:rPr>
          <w:rFonts w:ascii="David" w:hAnsi="David" w:cs="David" w:hint="cs"/>
          <w:szCs w:val="24"/>
          <w:rtl/>
        </w:rPr>
        <w:t>ה</w:t>
      </w:r>
      <w:r w:rsidR="00783C9E" w:rsidRPr="00783C9E">
        <w:rPr>
          <w:rFonts w:ascii="David" w:hAnsi="David" w:cs="David"/>
          <w:szCs w:val="24"/>
          <w:rtl/>
        </w:rPr>
        <w:t xml:space="preserve">סיעוד, </w:t>
      </w:r>
      <w:r w:rsidR="0009585E">
        <w:rPr>
          <w:rFonts w:ascii="David" w:hAnsi="David" w:cs="David" w:hint="cs"/>
          <w:szCs w:val="24"/>
          <w:rtl/>
        </w:rPr>
        <w:t>ה</w:t>
      </w:r>
      <w:r w:rsidR="00783C9E" w:rsidRPr="00783C9E">
        <w:rPr>
          <w:rFonts w:ascii="David" w:hAnsi="David" w:cs="David"/>
          <w:szCs w:val="24"/>
          <w:rtl/>
        </w:rPr>
        <w:t>מלונאות ו</w:t>
      </w:r>
      <w:r w:rsidR="0009585E">
        <w:rPr>
          <w:rFonts w:ascii="David" w:hAnsi="David" w:cs="David" w:hint="cs"/>
          <w:szCs w:val="24"/>
          <w:rtl/>
        </w:rPr>
        <w:t>ה</w:t>
      </w:r>
      <w:r w:rsidR="0009585E">
        <w:rPr>
          <w:rFonts w:ascii="David" w:hAnsi="David" w:cs="David"/>
          <w:szCs w:val="24"/>
          <w:rtl/>
        </w:rPr>
        <w:t>תעשייה</w:t>
      </w:r>
      <w:r w:rsidR="0009585E">
        <w:rPr>
          <w:rFonts w:ascii="David" w:hAnsi="David" w:cs="David" w:hint="cs"/>
          <w:szCs w:val="24"/>
          <w:rtl/>
        </w:rPr>
        <w:t xml:space="preserve">, </w:t>
      </w:r>
      <w:r w:rsidR="00180701" w:rsidRPr="00783C9E">
        <w:rPr>
          <w:rFonts w:ascii="David" w:hAnsi="David" w:cs="David"/>
          <w:szCs w:val="24"/>
          <w:rtl/>
        </w:rPr>
        <w:t>להפקיד מדי חודש לחשבון בנק ייעודי את כלל ההפרשות הסוציאליות שבהן חב המעסיק</w:t>
      </w:r>
      <w:r w:rsidR="00783C9E" w:rsidRPr="00783C9E">
        <w:rPr>
          <w:rFonts w:ascii="David" w:hAnsi="David" w:cs="David"/>
          <w:szCs w:val="24"/>
          <w:rtl/>
        </w:rPr>
        <w:t xml:space="preserve"> ביחס לאותו עובד</w:t>
      </w:r>
      <w:r w:rsidR="00180701" w:rsidRPr="00783C9E">
        <w:rPr>
          <w:rFonts w:ascii="David" w:hAnsi="David" w:cs="David"/>
          <w:szCs w:val="24"/>
          <w:rtl/>
        </w:rPr>
        <w:t>. קבלת כספי הפיקדון מותנית ביציאת העובד הזר מישראל</w:t>
      </w:r>
      <w:r w:rsidR="0009585E">
        <w:rPr>
          <w:rFonts w:ascii="David" w:hAnsi="David" w:cs="David" w:hint="cs"/>
          <w:szCs w:val="24"/>
          <w:rtl/>
        </w:rPr>
        <w:t xml:space="preserve"> במועד</w:t>
      </w:r>
      <w:r w:rsidR="00180701" w:rsidRPr="00783C9E">
        <w:rPr>
          <w:rFonts w:ascii="David" w:hAnsi="David" w:cs="David"/>
          <w:szCs w:val="24"/>
          <w:rtl/>
        </w:rPr>
        <w:t xml:space="preserve">, </w:t>
      </w:r>
      <w:r w:rsidR="00783C9E" w:rsidRPr="00783C9E">
        <w:rPr>
          <w:rFonts w:ascii="David" w:hAnsi="David" w:cs="David"/>
          <w:szCs w:val="24"/>
          <w:rtl/>
        </w:rPr>
        <w:t>כך</w:t>
      </w:r>
      <w:r w:rsidR="00180701" w:rsidRPr="00783C9E">
        <w:rPr>
          <w:rFonts w:ascii="David" w:hAnsi="David" w:cs="David"/>
          <w:szCs w:val="24"/>
          <w:rtl/>
        </w:rPr>
        <w:t xml:space="preserve"> ש</w:t>
      </w:r>
      <w:r w:rsidR="00783C9E" w:rsidRPr="00783C9E">
        <w:rPr>
          <w:rFonts w:ascii="David" w:hAnsi="David" w:cs="David"/>
          <w:szCs w:val="24"/>
          <w:rtl/>
        </w:rPr>
        <w:t>עובד שיצא</w:t>
      </w:r>
      <w:r w:rsidR="00180701" w:rsidRPr="00783C9E">
        <w:rPr>
          <w:rFonts w:ascii="David" w:hAnsi="David" w:cs="David"/>
          <w:szCs w:val="24"/>
          <w:rtl/>
        </w:rPr>
        <w:t xml:space="preserve"> לאחר תום </w:t>
      </w:r>
      <w:r w:rsidR="00783C9E" w:rsidRPr="00783C9E">
        <w:rPr>
          <w:rFonts w:ascii="David" w:hAnsi="David" w:cs="David"/>
          <w:szCs w:val="24"/>
          <w:rtl/>
        </w:rPr>
        <w:t>תקופת השהייה</w:t>
      </w:r>
      <w:r w:rsidR="00180701" w:rsidRPr="00783C9E">
        <w:rPr>
          <w:rFonts w:ascii="David" w:hAnsi="David" w:cs="David"/>
          <w:szCs w:val="24"/>
          <w:rtl/>
        </w:rPr>
        <w:t xml:space="preserve"> </w:t>
      </w:r>
      <w:r w:rsidR="00783C9E" w:rsidRPr="00783C9E">
        <w:rPr>
          <w:rFonts w:ascii="David" w:hAnsi="David" w:cs="David"/>
          <w:szCs w:val="24"/>
          <w:rtl/>
        </w:rPr>
        <w:t>שהותרה לו</w:t>
      </w:r>
      <w:r w:rsidR="00180701" w:rsidRPr="00783C9E">
        <w:rPr>
          <w:rFonts w:ascii="David" w:hAnsi="David" w:cs="David"/>
          <w:szCs w:val="24"/>
          <w:rtl/>
        </w:rPr>
        <w:t xml:space="preserve"> – ינוכה מכספי הפיקדון שלו סכום שילך ויגדל</w:t>
      </w:r>
      <w:r w:rsidR="00783C9E" w:rsidRPr="00783C9E">
        <w:rPr>
          <w:rFonts w:ascii="David" w:hAnsi="David" w:cs="David"/>
          <w:szCs w:val="24"/>
          <w:rtl/>
        </w:rPr>
        <w:t>, ולאחר שישה חודשי שיהוי</w:t>
      </w:r>
      <w:r w:rsidR="00180701" w:rsidRPr="00783C9E">
        <w:rPr>
          <w:rFonts w:ascii="David" w:hAnsi="David" w:cs="David"/>
          <w:szCs w:val="24"/>
          <w:rtl/>
        </w:rPr>
        <w:t xml:space="preserve"> </w:t>
      </w:r>
      <w:r w:rsidR="00783C9E" w:rsidRPr="00783C9E">
        <w:rPr>
          <w:rFonts w:ascii="David" w:hAnsi="David" w:cs="David"/>
          <w:szCs w:val="24"/>
          <w:rtl/>
        </w:rPr>
        <w:t>עלול העובד הזר</w:t>
      </w:r>
      <w:r w:rsidR="00180701" w:rsidRPr="00783C9E">
        <w:rPr>
          <w:rFonts w:ascii="David" w:hAnsi="David" w:cs="David"/>
          <w:szCs w:val="24"/>
          <w:rtl/>
        </w:rPr>
        <w:t xml:space="preserve"> לאבד את זכאותו </w:t>
      </w:r>
      <w:r>
        <w:rPr>
          <w:rFonts w:ascii="David" w:hAnsi="David" w:cs="David" w:hint="cs"/>
          <w:szCs w:val="24"/>
          <w:rtl/>
        </w:rPr>
        <w:t>לכספי הפיקדון כולם.</w:t>
      </w:r>
    </w:p>
    <w:p w:rsidR="00180701" w:rsidRPr="00783C9E" w:rsidRDefault="00180701" w:rsidP="00180701">
      <w:pPr>
        <w:pStyle w:val="Ruller4"/>
        <w:numPr>
          <w:ilvl w:val="0"/>
          <w:numId w:val="0"/>
        </w:numPr>
        <w:rPr>
          <w:rFonts w:ascii="David" w:hAnsi="David" w:cs="David"/>
          <w:szCs w:val="24"/>
          <w:rtl/>
        </w:rPr>
      </w:pPr>
    </w:p>
    <w:p w:rsidR="00783C9E" w:rsidRPr="00783C9E" w:rsidRDefault="0009585E" w:rsidP="005C513A">
      <w:pPr>
        <w:pStyle w:val="Ruller4"/>
        <w:numPr>
          <w:ilvl w:val="0"/>
          <w:numId w:val="0"/>
        </w:numPr>
        <w:rPr>
          <w:rFonts w:ascii="David" w:hAnsi="David" w:cs="David"/>
          <w:szCs w:val="24"/>
          <w:rtl/>
        </w:rPr>
      </w:pPr>
      <w:r>
        <w:rPr>
          <w:rFonts w:ascii="David" w:hAnsi="David" w:cs="David" w:hint="cs"/>
          <w:szCs w:val="24"/>
          <w:rtl/>
        </w:rPr>
        <w:t>בעתיר</w:t>
      </w:r>
      <w:r w:rsidR="00D91EA8">
        <w:rPr>
          <w:rFonts w:ascii="David" w:hAnsi="David" w:cs="David" w:hint="cs"/>
          <w:szCs w:val="24"/>
          <w:rtl/>
        </w:rPr>
        <w:t>ות</w:t>
      </w:r>
      <w:r>
        <w:rPr>
          <w:rFonts w:ascii="David" w:hAnsi="David" w:cs="David" w:hint="cs"/>
          <w:szCs w:val="24"/>
          <w:rtl/>
        </w:rPr>
        <w:t xml:space="preserve"> נטען כי</w:t>
      </w:r>
      <w:r w:rsidR="007E0184" w:rsidRPr="00783C9E">
        <w:rPr>
          <w:rFonts w:ascii="David" w:hAnsi="David" w:cs="David"/>
          <w:szCs w:val="24"/>
          <w:rtl/>
        </w:rPr>
        <w:t xml:space="preserve"> מנגנון הניכוי האמור פוגע פגיעה קשה ובלתי מידתית בזכויותיהם של העובדים הזרים, ועל כן יש להורות על בטלותו.</w:t>
      </w:r>
      <w:r w:rsidR="007E0184">
        <w:rPr>
          <w:rFonts w:ascii="David" w:hAnsi="David" w:cs="David" w:hint="cs"/>
          <w:szCs w:val="24"/>
          <w:rtl/>
        </w:rPr>
        <w:t xml:space="preserve"> כך, למשל, </w:t>
      </w:r>
      <w:r w:rsidR="00783C9E" w:rsidRPr="00783C9E">
        <w:rPr>
          <w:rFonts w:ascii="David" w:hAnsi="David" w:cs="David"/>
          <w:szCs w:val="24"/>
          <w:rtl/>
        </w:rPr>
        <w:t>אחד העותרים</w:t>
      </w:r>
      <w:r w:rsidR="007E0184">
        <w:rPr>
          <w:rFonts w:ascii="David" w:hAnsi="David" w:cs="David" w:hint="cs"/>
          <w:szCs w:val="24"/>
          <w:rtl/>
        </w:rPr>
        <w:t xml:space="preserve"> - </w:t>
      </w:r>
      <w:r w:rsidR="00783C9E" w:rsidRPr="00783C9E">
        <w:rPr>
          <w:rFonts w:ascii="David" w:hAnsi="David" w:cs="David"/>
          <w:szCs w:val="24"/>
          <w:rtl/>
        </w:rPr>
        <w:t>אזרח סין</w:t>
      </w:r>
      <w:r w:rsidR="0088230B">
        <w:rPr>
          <w:rFonts w:ascii="David" w:hAnsi="David" w:cs="David" w:hint="cs"/>
          <w:szCs w:val="24"/>
          <w:rtl/>
        </w:rPr>
        <w:t>,</w:t>
      </w:r>
      <w:r w:rsidR="007E0184">
        <w:rPr>
          <w:rFonts w:ascii="David" w:hAnsi="David" w:cs="David" w:hint="cs"/>
          <w:szCs w:val="24"/>
          <w:rtl/>
        </w:rPr>
        <w:t xml:space="preserve"> שעבד בישראל</w:t>
      </w:r>
      <w:r w:rsidR="00565CC6">
        <w:rPr>
          <w:rFonts w:ascii="David" w:hAnsi="David" w:cs="David" w:hint="cs"/>
          <w:szCs w:val="24"/>
          <w:rtl/>
        </w:rPr>
        <w:t xml:space="preserve"> בענף הבניין</w:t>
      </w:r>
      <w:r w:rsidR="007E0184">
        <w:rPr>
          <w:rFonts w:ascii="David" w:hAnsi="David" w:cs="David" w:hint="cs"/>
          <w:szCs w:val="24"/>
          <w:rtl/>
        </w:rPr>
        <w:t xml:space="preserve"> כחוק במשך 12 שנים ונצברו עבורו בפיקדון 93,717 ש"ח, נשלל ממנו מלוא הפיקדון </w:t>
      </w:r>
      <w:r w:rsidR="00783C9E" w:rsidRPr="00783C9E">
        <w:rPr>
          <w:rFonts w:ascii="David" w:hAnsi="David" w:cs="David"/>
          <w:szCs w:val="24"/>
          <w:rtl/>
        </w:rPr>
        <w:t>בשל יציאתו מישראל לאחר המועד שנקבע לו.</w:t>
      </w:r>
      <w:r w:rsidR="00565CC6">
        <w:rPr>
          <w:rFonts w:ascii="David" w:hAnsi="David" w:cs="David" w:hint="cs"/>
          <w:szCs w:val="24"/>
          <w:rtl/>
        </w:rPr>
        <w:t xml:space="preserve"> </w:t>
      </w:r>
    </w:p>
    <w:p w:rsidR="00783C9E" w:rsidRPr="00783C9E" w:rsidRDefault="00783C9E" w:rsidP="00783C9E">
      <w:pPr>
        <w:pStyle w:val="Ruller41"/>
        <w:rPr>
          <w:rFonts w:ascii="David" w:hAnsi="David" w:cs="David"/>
          <w:sz w:val="24"/>
          <w:szCs w:val="24"/>
          <w:rtl/>
        </w:rPr>
      </w:pPr>
    </w:p>
    <w:p w:rsidR="0009585E" w:rsidRDefault="00783C9E" w:rsidP="0009585E">
      <w:pPr>
        <w:pStyle w:val="Ruller41"/>
        <w:rPr>
          <w:rFonts w:ascii="David" w:hAnsi="David" w:cs="David"/>
          <w:sz w:val="24"/>
          <w:szCs w:val="24"/>
          <w:rtl/>
        </w:rPr>
      </w:pPr>
      <w:r w:rsidRPr="00783C9E">
        <w:rPr>
          <w:rFonts w:ascii="David" w:hAnsi="David" w:cs="David"/>
          <w:sz w:val="24"/>
          <w:szCs w:val="24"/>
          <w:rtl/>
        </w:rPr>
        <w:t xml:space="preserve">בית המשפט העליון (הנשיאה </w:t>
      </w:r>
      <w:r w:rsidRPr="00CB5C46">
        <w:rPr>
          <w:rFonts w:ascii="David" w:hAnsi="David" w:cs="David"/>
          <w:sz w:val="24"/>
          <w:szCs w:val="24"/>
          <w:rtl/>
        </w:rPr>
        <w:t xml:space="preserve">חיות, בהסכמת המשנה לנשיאה פוגלמן והשופטים עמית, ברק-ארז, ברון </w:t>
      </w:r>
      <w:proofErr w:type="spellStart"/>
      <w:r w:rsidRPr="00CB5C46">
        <w:rPr>
          <w:rFonts w:ascii="David" w:hAnsi="David" w:cs="David"/>
          <w:sz w:val="24"/>
          <w:szCs w:val="24"/>
          <w:rtl/>
        </w:rPr>
        <w:t>וגרוסקופף</w:t>
      </w:r>
      <w:proofErr w:type="spellEnd"/>
      <w:r w:rsidRPr="00CB5C46">
        <w:rPr>
          <w:rFonts w:ascii="David" w:hAnsi="David" w:cs="David"/>
          <w:sz w:val="24"/>
          <w:szCs w:val="24"/>
          <w:rtl/>
        </w:rPr>
        <w:t xml:space="preserve">, כנגד דעתו החולקת של השופט סולברג) קבע כי מנגנון </w:t>
      </w:r>
      <w:r w:rsidR="0009585E">
        <w:rPr>
          <w:rFonts w:ascii="David" w:hAnsi="David" w:cs="David" w:hint="cs"/>
          <w:sz w:val="24"/>
          <w:szCs w:val="24"/>
          <w:rtl/>
        </w:rPr>
        <w:t>הניכוי אכן</w:t>
      </w:r>
      <w:r w:rsidRPr="00CB5C46">
        <w:rPr>
          <w:rFonts w:ascii="David" w:hAnsi="David" w:cs="David"/>
          <w:sz w:val="24"/>
          <w:szCs w:val="24"/>
          <w:rtl/>
        </w:rPr>
        <w:t xml:space="preserve"> פוגע בזכותם של העובדים הזרים לקניין – זכות המוקנית לכל עובד זר בהתאם לסעיף 3 לחוק-יסוד: כבוד האדם וחירותו. </w:t>
      </w:r>
      <w:r w:rsidR="0009585E">
        <w:rPr>
          <w:rFonts w:ascii="David" w:hAnsi="David" w:cs="David" w:hint="cs"/>
          <w:sz w:val="24"/>
          <w:szCs w:val="24"/>
          <w:rtl/>
        </w:rPr>
        <w:t>זאת, שכן</w:t>
      </w:r>
      <w:r w:rsidRPr="00CB5C46">
        <w:rPr>
          <w:rFonts w:ascii="David" w:hAnsi="David" w:cs="David" w:hint="cs"/>
          <w:sz w:val="24"/>
          <w:szCs w:val="24"/>
          <w:rtl/>
        </w:rPr>
        <w:t xml:space="preserve"> </w:t>
      </w:r>
      <w:r w:rsidR="00180701" w:rsidRPr="00CB5C46">
        <w:rPr>
          <w:rFonts w:ascii="David" w:hAnsi="David" w:cs="David"/>
          <w:sz w:val="24"/>
          <w:szCs w:val="24"/>
          <w:rtl/>
        </w:rPr>
        <w:t xml:space="preserve">משעה </w:t>
      </w:r>
      <w:r w:rsidR="00074B88">
        <w:rPr>
          <w:rFonts w:ascii="David" w:hAnsi="David" w:cs="David" w:hint="cs"/>
          <w:sz w:val="24"/>
          <w:szCs w:val="24"/>
          <w:rtl/>
        </w:rPr>
        <w:t>ש</w:t>
      </w:r>
      <w:r w:rsidR="00074B88" w:rsidRPr="00CB5C46">
        <w:rPr>
          <w:rFonts w:ascii="David" w:hAnsi="David" w:cs="David"/>
          <w:sz w:val="24"/>
          <w:szCs w:val="24"/>
          <w:rtl/>
        </w:rPr>
        <w:t xml:space="preserve">בגין עבודתו של העובד הזר </w:t>
      </w:r>
      <w:r w:rsidR="00180701" w:rsidRPr="00CB5C46">
        <w:rPr>
          <w:rFonts w:ascii="David" w:hAnsi="David" w:cs="David"/>
          <w:sz w:val="24"/>
          <w:szCs w:val="24"/>
          <w:rtl/>
        </w:rPr>
        <w:t xml:space="preserve">הופקדו </w:t>
      </w:r>
      <w:r w:rsidR="00074B88" w:rsidRPr="00CB5C46">
        <w:rPr>
          <w:rFonts w:ascii="David" w:hAnsi="David" w:cs="David"/>
          <w:sz w:val="24"/>
          <w:szCs w:val="24"/>
          <w:rtl/>
        </w:rPr>
        <w:t xml:space="preserve">מדי חודש </w:t>
      </w:r>
      <w:r w:rsidR="00180701" w:rsidRPr="00CB5C46">
        <w:rPr>
          <w:rFonts w:ascii="David" w:hAnsi="David" w:cs="David"/>
          <w:sz w:val="24"/>
          <w:szCs w:val="24"/>
          <w:rtl/>
        </w:rPr>
        <w:t>בחשבון הפיקדון</w:t>
      </w:r>
      <w:r w:rsidR="0009585E">
        <w:rPr>
          <w:rFonts w:ascii="David" w:hAnsi="David" w:cs="David" w:hint="cs"/>
          <w:sz w:val="24"/>
          <w:szCs w:val="24"/>
          <w:rtl/>
        </w:rPr>
        <w:t xml:space="preserve"> הפרשות סוציאליות עבורו</w:t>
      </w:r>
      <w:r w:rsidR="00180701" w:rsidRPr="00CB5C46">
        <w:rPr>
          <w:rFonts w:ascii="David" w:hAnsi="David" w:cs="David"/>
          <w:sz w:val="24"/>
          <w:szCs w:val="24"/>
          <w:rtl/>
        </w:rPr>
        <w:t xml:space="preserve"> </w:t>
      </w:r>
      <w:r w:rsidR="00074B88">
        <w:rPr>
          <w:rFonts w:ascii="David" w:hAnsi="David" w:cs="David"/>
          <w:sz w:val="24"/>
          <w:szCs w:val="24"/>
          <w:rtl/>
        </w:rPr>
        <w:t>–</w:t>
      </w:r>
      <w:r w:rsidR="00074B88">
        <w:rPr>
          <w:rFonts w:ascii="David" w:hAnsi="David" w:cs="David" w:hint="cs"/>
          <w:sz w:val="24"/>
          <w:szCs w:val="24"/>
          <w:rtl/>
        </w:rPr>
        <w:t xml:space="preserve"> </w:t>
      </w:r>
      <w:r w:rsidR="00180701" w:rsidRPr="00CB5C46">
        <w:rPr>
          <w:rFonts w:ascii="David" w:hAnsi="David" w:cs="David"/>
          <w:sz w:val="24"/>
          <w:szCs w:val="24"/>
          <w:rtl/>
        </w:rPr>
        <w:t xml:space="preserve">כספים </w:t>
      </w:r>
      <w:r w:rsidR="00074B88">
        <w:rPr>
          <w:rFonts w:ascii="David" w:hAnsi="David" w:cs="David" w:hint="cs"/>
          <w:sz w:val="24"/>
          <w:szCs w:val="24"/>
          <w:rtl/>
        </w:rPr>
        <w:t xml:space="preserve">אלו </w:t>
      </w:r>
      <w:r w:rsidR="00180701" w:rsidRPr="00CB5C46">
        <w:rPr>
          <w:rFonts w:ascii="David" w:hAnsi="David" w:cs="David"/>
          <w:sz w:val="24"/>
          <w:szCs w:val="24"/>
          <w:rtl/>
        </w:rPr>
        <w:t>הם קניינו</w:t>
      </w:r>
      <w:r w:rsidR="00074B88">
        <w:rPr>
          <w:rFonts w:ascii="David" w:hAnsi="David" w:cs="David" w:hint="cs"/>
          <w:sz w:val="24"/>
          <w:szCs w:val="24"/>
          <w:rtl/>
        </w:rPr>
        <w:t xml:space="preserve"> </w:t>
      </w:r>
      <w:r w:rsidR="00180701" w:rsidRPr="00CB5C46">
        <w:rPr>
          <w:rFonts w:ascii="David" w:hAnsi="David" w:cs="David"/>
          <w:sz w:val="24"/>
          <w:szCs w:val="24"/>
          <w:rtl/>
        </w:rPr>
        <w:t xml:space="preserve">וניכויים מהווה פגיעה בקניין זה. </w:t>
      </w:r>
    </w:p>
    <w:p w:rsidR="004A536C" w:rsidRDefault="0009585E" w:rsidP="0009585E">
      <w:pPr>
        <w:pStyle w:val="Ruller41"/>
        <w:rPr>
          <w:rFonts w:ascii="David" w:hAnsi="David" w:cs="David"/>
          <w:sz w:val="24"/>
          <w:szCs w:val="24"/>
          <w:rtl/>
        </w:rPr>
      </w:pPr>
      <w:r>
        <w:rPr>
          <w:rFonts w:ascii="David" w:hAnsi="David" w:cs="David" w:hint="cs"/>
          <w:sz w:val="24"/>
          <w:szCs w:val="24"/>
          <w:rtl/>
        </w:rPr>
        <w:lastRenderedPageBreak/>
        <w:t xml:space="preserve">עוד נקבע </w:t>
      </w:r>
      <w:r w:rsidR="00783C9E" w:rsidRPr="004A536C">
        <w:rPr>
          <w:rFonts w:ascii="David" w:hAnsi="David" w:cs="David" w:hint="cs"/>
          <w:sz w:val="24"/>
          <w:szCs w:val="24"/>
          <w:rtl/>
        </w:rPr>
        <w:t>כי תכלית מנגנון הניכוי</w:t>
      </w:r>
      <w:r w:rsidR="001E2B1F">
        <w:rPr>
          <w:rFonts w:ascii="David" w:hAnsi="David" w:cs="David" w:hint="cs"/>
          <w:sz w:val="24"/>
          <w:szCs w:val="24"/>
          <w:rtl/>
        </w:rPr>
        <w:t xml:space="preserve"> </w:t>
      </w:r>
      <w:r>
        <w:rPr>
          <w:rFonts w:ascii="David" w:hAnsi="David" w:cs="David" w:hint="cs"/>
          <w:sz w:val="24"/>
          <w:szCs w:val="24"/>
          <w:rtl/>
        </w:rPr>
        <w:t xml:space="preserve">הינה </w:t>
      </w:r>
      <w:r w:rsidR="00074B88">
        <w:rPr>
          <w:rFonts w:ascii="David" w:hAnsi="David" w:cs="David" w:hint="cs"/>
          <w:sz w:val="24"/>
          <w:szCs w:val="24"/>
          <w:rtl/>
        </w:rPr>
        <w:t>הגברת</w:t>
      </w:r>
      <w:r w:rsidR="00074B88" w:rsidRPr="004A536C">
        <w:rPr>
          <w:rFonts w:ascii="David" w:hAnsi="David" w:cs="David"/>
          <w:sz w:val="24"/>
          <w:szCs w:val="24"/>
          <w:rtl/>
        </w:rPr>
        <w:t xml:space="preserve"> התמריץ של העובד הזר לצאת מישראל בתום תקופת שהייתו החוקית בישראל</w:t>
      </w:r>
      <w:r>
        <w:rPr>
          <w:rFonts w:ascii="David" w:hAnsi="David" w:cs="David" w:hint="cs"/>
          <w:sz w:val="24"/>
          <w:szCs w:val="24"/>
          <w:rtl/>
        </w:rPr>
        <w:t>,</w:t>
      </w:r>
      <w:r w:rsidR="00074B88">
        <w:rPr>
          <w:rFonts w:ascii="David" w:hAnsi="David" w:cs="David" w:hint="cs"/>
          <w:sz w:val="24"/>
          <w:szCs w:val="24"/>
          <w:rtl/>
        </w:rPr>
        <w:t xml:space="preserve"> </w:t>
      </w:r>
      <w:proofErr w:type="spellStart"/>
      <w:r>
        <w:rPr>
          <w:rFonts w:ascii="David" w:hAnsi="David" w:cs="David" w:hint="cs"/>
          <w:sz w:val="24"/>
          <w:szCs w:val="24"/>
          <w:rtl/>
        </w:rPr>
        <w:t>וככזו</w:t>
      </w:r>
      <w:proofErr w:type="spellEnd"/>
      <w:r w:rsidR="00783C9E" w:rsidRPr="004A536C">
        <w:rPr>
          <w:rFonts w:ascii="David" w:hAnsi="David" w:cs="David" w:hint="cs"/>
          <w:sz w:val="24"/>
          <w:szCs w:val="24"/>
          <w:rtl/>
        </w:rPr>
        <w:t xml:space="preserve"> היא תכלית ראויה</w:t>
      </w:r>
      <w:r w:rsidR="00074B88">
        <w:rPr>
          <w:rFonts w:ascii="David" w:hAnsi="David" w:cs="David" w:hint="cs"/>
          <w:sz w:val="24"/>
          <w:szCs w:val="24"/>
          <w:rtl/>
        </w:rPr>
        <w:t>.</w:t>
      </w:r>
      <w:r w:rsidR="00180701" w:rsidRPr="004A536C">
        <w:rPr>
          <w:rFonts w:ascii="David" w:hAnsi="David" w:cs="David"/>
          <w:sz w:val="24"/>
          <w:szCs w:val="24"/>
          <w:rtl/>
        </w:rPr>
        <w:t xml:space="preserve"> </w:t>
      </w:r>
      <w:r w:rsidR="005C513A">
        <w:rPr>
          <w:rFonts w:ascii="David" w:hAnsi="David" w:cs="David" w:hint="cs"/>
          <w:sz w:val="24"/>
          <w:szCs w:val="24"/>
          <w:rtl/>
        </w:rPr>
        <w:t>עם זאת</w:t>
      </w:r>
      <w:r w:rsidR="007E0184">
        <w:rPr>
          <w:rFonts w:ascii="David" w:hAnsi="David" w:cs="David" w:hint="cs"/>
          <w:sz w:val="24"/>
          <w:szCs w:val="24"/>
          <w:rtl/>
        </w:rPr>
        <w:t xml:space="preserve">, צוין כי </w:t>
      </w:r>
      <w:r w:rsidR="004C065B" w:rsidRPr="004A536C">
        <w:rPr>
          <w:rFonts w:ascii="David" w:hAnsi="David" w:cs="David" w:hint="cs"/>
          <w:sz w:val="24"/>
          <w:szCs w:val="24"/>
          <w:rtl/>
        </w:rPr>
        <w:t xml:space="preserve">הצדדים </w:t>
      </w:r>
      <w:r w:rsidR="004C065B" w:rsidRPr="004A536C">
        <w:rPr>
          <w:rFonts w:ascii="David" w:hAnsi="David" w:cs="David"/>
          <w:sz w:val="24"/>
          <w:szCs w:val="24"/>
          <w:rtl/>
        </w:rPr>
        <w:t xml:space="preserve">לא </w:t>
      </w:r>
      <w:r w:rsidR="004C065B" w:rsidRPr="004A536C">
        <w:rPr>
          <w:rFonts w:ascii="David" w:hAnsi="David" w:cs="David" w:hint="cs"/>
          <w:sz w:val="24"/>
          <w:szCs w:val="24"/>
          <w:rtl/>
        </w:rPr>
        <w:t>הציגו</w:t>
      </w:r>
      <w:r w:rsidR="004C065B" w:rsidRPr="004A536C">
        <w:rPr>
          <w:rFonts w:ascii="David" w:hAnsi="David" w:cs="David"/>
          <w:sz w:val="24"/>
          <w:szCs w:val="24"/>
          <w:rtl/>
        </w:rPr>
        <w:t xml:space="preserve"> ולו דוגמה אחת למדינה שבה מהגרי עבודה עשויים לאבד את כספי הפנ</w:t>
      </w:r>
      <w:r w:rsidR="007E0184">
        <w:rPr>
          <w:rFonts w:ascii="David" w:hAnsi="David" w:cs="David"/>
          <w:sz w:val="24"/>
          <w:szCs w:val="24"/>
          <w:rtl/>
        </w:rPr>
        <w:t>סיה שלהם אם יצאו מהמדינה באיחור</w:t>
      </w:r>
      <w:r w:rsidR="007E0184">
        <w:rPr>
          <w:rFonts w:ascii="David" w:hAnsi="David" w:cs="David" w:hint="cs"/>
          <w:sz w:val="24"/>
          <w:szCs w:val="24"/>
          <w:rtl/>
        </w:rPr>
        <w:t>, וכי מדובר במנגנון לשלילת זכויות סוציאליות שהינו יוצא דופן גם בדין הישראלי.</w:t>
      </w:r>
    </w:p>
    <w:p w:rsidR="004A536C" w:rsidRDefault="004A536C" w:rsidP="004A536C">
      <w:pPr>
        <w:jc w:val="both"/>
        <w:rPr>
          <w:rFonts w:ascii="David" w:hAnsi="David" w:cs="David"/>
          <w:sz w:val="24"/>
          <w:szCs w:val="24"/>
          <w:rtl/>
        </w:rPr>
      </w:pPr>
    </w:p>
    <w:p w:rsidR="004A536C" w:rsidRDefault="007E0184" w:rsidP="0009585E">
      <w:pPr>
        <w:jc w:val="both"/>
        <w:rPr>
          <w:rFonts w:ascii="David" w:hAnsi="David" w:cs="David"/>
          <w:sz w:val="24"/>
          <w:szCs w:val="24"/>
          <w:rtl/>
        </w:rPr>
      </w:pPr>
      <w:r>
        <w:rPr>
          <w:rFonts w:ascii="David" w:hAnsi="David" w:cs="David" w:hint="cs"/>
          <w:sz w:val="24"/>
          <w:szCs w:val="24"/>
          <w:rtl/>
        </w:rPr>
        <w:t xml:space="preserve">דעת הרוב </w:t>
      </w:r>
      <w:r w:rsidR="0009585E">
        <w:rPr>
          <w:rFonts w:ascii="David" w:hAnsi="David" w:cs="David" w:hint="cs"/>
          <w:sz w:val="24"/>
          <w:szCs w:val="24"/>
          <w:rtl/>
        </w:rPr>
        <w:t>הוסיפה ו</w:t>
      </w:r>
      <w:r>
        <w:rPr>
          <w:rFonts w:ascii="David" w:hAnsi="David" w:cs="David" w:hint="cs"/>
          <w:sz w:val="24"/>
          <w:szCs w:val="24"/>
          <w:rtl/>
        </w:rPr>
        <w:t>עמדה על כך</w:t>
      </w:r>
      <w:r w:rsidR="004C065B" w:rsidRPr="004A536C">
        <w:rPr>
          <w:rFonts w:ascii="David" w:hAnsi="David" w:cs="David" w:hint="cs"/>
          <w:sz w:val="24"/>
          <w:szCs w:val="24"/>
          <w:rtl/>
        </w:rPr>
        <w:t xml:space="preserve"> </w:t>
      </w:r>
      <w:r>
        <w:rPr>
          <w:rFonts w:ascii="David" w:hAnsi="David" w:cs="David" w:hint="cs"/>
          <w:sz w:val="24"/>
          <w:szCs w:val="24"/>
          <w:rtl/>
        </w:rPr>
        <w:t>ש</w:t>
      </w:r>
      <w:r w:rsidR="004C065B" w:rsidRPr="004A536C">
        <w:rPr>
          <w:rFonts w:ascii="David" w:hAnsi="David" w:cs="David"/>
          <w:sz w:val="24"/>
          <w:szCs w:val="24"/>
          <w:rtl/>
        </w:rPr>
        <w:t>הנתונים שהציג</w:t>
      </w:r>
      <w:r w:rsidR="004C065B" w:rsidRPr="004A536C">
        <w:rPr>
          <w:rFonts w:ascii="David" w:hAnsi="David" w:cs="David" w:hint="cs"/>
          <w:sz w:val="24"/>
          <w:szCs w:val="24"/>
          <w:rtl/>
        </w:rPr>
        <w:t xml:space="preserve">ו משיבי </w:t>
      </w:r>
      <w:r w:rsidR="004C065B" w:rsidRPr="004A536C">
        <w:rPr>
          <w:rFonts w:ascii="David" w:hAnsi="David" w:cs="David"/>
          <w:sz w:val="24"/>
          <w:szCs w:val="24"/>
          <w:rtl/>
        </w:rPr>
        <w:t>הממשלה לגבי השנים שבהן הופעל מנגנון הניכוי, מעוררים שאלות לא מבוטלות באשר ליעילותו</w:t>
      </w:r>
      <w:r w:rsidR="004C065B" w:rsidRPr="004A536C">
        <w:rPr>
          <w:rFonts w:ascii="David" w:hAnsi="David" w:cs="David" w:hint="cs"/>
          <w:sz w:val="24"/>
          <w:szCs w:val="24"/>
          <w:rtl/>
        </w:rPr>
        <w:t xml:space="preserve">, ומנגד </w:t>
      </w:r>
      <w:r w:rsidR="00C4112F">
        <w:rPr>
          <w:rFonts w:ascii="David" w:hAnsi="David" w:cs="David"/>
          <w:sz w:val="24"/>
          <w:szCs w:val="24"/>
          <w:rtl/>
        </w:rPr>
        <w:t>–</w:t>
      </w:r>
      <w:r w:rsidR="00C4112F">
        <w:rPr>
          <w:rFonts w:ascii="David" w:hAnsi="David" w:cs="David" w:hint="cs"/>
          <w:sz w:val="24"/>
          <w:szCs w:val="24"/>
          <w:rtl/>
        </w:rPr>
        <w:t xml:space="preserve"> </w:t>
      </w:r>
      <w:r w:rsidR="004C065B" w:rsidRPr="004A536C">
        <w:rPr>
          <w:rFonts w:ascii="David" w:hAnsi="David" w:cs="David"/>
          <w:b/>
          <w:sz w:val="24"/>
          <w:szCs w:val="24"/>
          <w:rtl/>
        </w:rPr>
        <w:t>עוצמת הפגיעה בזכות לקניין</w:t>
      </w:r>
      <w:r w:rsidR="004C065B" w:rsidRPr="004A536C">
        <w:rPr>
          <w:rFonts w:ascii="David" w:hAnsi="David" w:cs="David"/>
          <w:sz w:val="24"/>
          <w:szCs w:val="24"/>
          <w:rtl/>
        </w:rPr>
        <w:t xml:space="preserve"> הנגרמת מהפעלת מנגנון הניכוי היא</w:t>
      </w:r>
      <w:r w:rsidR="004C065B" w:rsidRPr="004A536C">
        <w:rPr>
          <w:rFonts w:ascii="David" w:hAnsi="David" w:cs="David" w:hint="cs"/>
          <w:sz w:val="24"/>
          <w:szCs w:val="24"/>
          <w:rtl/>
        </w:rPr>
        <w:t xml:space="preserve"> </w:t>
      </w:r>
      <w:r w:rsidR="004C065B" w:rsidRPr="004A536C">
        <w:rPr>
          <w:rFonts w:ascii="David" w:hAnsi="David" w:cs="David"/>
          <w:sz w:val="24"/>
          <w:szCs w:val="24"/>
          <w:rtl/>
        </w:rPr>
        <w:t>משמעותית ביותר</w:t>
      </w:r>
      <w:r w:rsidR="004C065B" w:rsidRPr="004A536C">
        <w:rPr>
          <w:rFonts w:ascii="David" w:hAnsi="David" w:cs="David" w:hint="cs"/>
          <w:sz w:val="24"/>
          <w:szCs w:val="24"/>
          <w:rtl/>
        </w:rPr>
        <w:t xml:space="preserve">. </w:t>
      </w:r>
      <w:r w:rsidR="00C4112F">
        <w:rPr>
          <w:rFonts w:ascii="David" w:hAnsi="David" w:cs="David" w:hint="cs"/>
          <w:sz w:val="24"/>
          <w:szCs w:val="24"/>
          <w:rtl/>
        </w:rPr>
        <w:t xml:space="preserve">בהקשר זה צוין כי ההסדר שנקבע חושף את העובד לאפשרות </w:t>
      </w:r>
      <w:r w:rsidR="00C4112F" w:rsidRPr="004A536C">
        <w:rPr>
          <w:rFonts w:ascii="David" w:hAnsi="David" w:cs="David" w:hint="cs"/>
          <w:sz w:val="24"/>
          <w:szCs w:val="24"/>
          <w:rtl/>
        </w:rPr>
        <w:t>שי</w:t>
      </w:r>
      <w:r w:rsidR="00C4112F" w:rsidRPr="004A536C">
        <w:rPr>
          <w:rFonts w:ascii="David" w:hAnsi="David" w:cs="David"/>
          <w:sz w:val="24"/>
          <w:szCs w:val="24"/>
          <w:rtl/>
        </w:rPr>
        <w:t>יאבד את כל התשלומים הסוציאליים שהפקיד עבורו המעסיק במשך שנות העסקתו בישראל –</w:t>
      </w:r>
      <w:r w:rsidR="00C4112F">
        <w:rPr>
          <w:rFonts w:ascii="David" w:hAnsi="David" w:cs="David" w:hint="cs"/>
          <w:sz w:val="24"/>
          <w:szCs w:val="24"/>
          <w:rtl/>
        </w:rPr>
        <w:t xml:space="preserve"> סכומים</w:t>
      </w:r>
      <w:r w:rsidR="00C4112F" w:rsidRPr="004A536C">
        <w:rPr>
          <w:rFonts w:ascii="David" w:hAnsi="David" w:cs="David" w:hint="cs"/>
          <w:sz w:val="24"/>
          <w:szCs w:val="24"/>
          <w:rtl/>
        </w:rPr>
        <w:t xml:space="preserve"> </w:t>
      </w:r>
      <w:r w:rsidR="00C4112F">
        <w:rPr>
          <w:rFonts w:ascii="David" w:hAnsi="David" w:cs="David" w:hint="cs"/>
          <w:sz w:val="24"/>
          <w:szCs w:val="24"/>
          <w:rtl/>
        </w:rPr>
        <w:t>ש</w:t>
      </w:r>
      <w:r w:rsidR="00C4112F" w:rsidRPr="004A536C">
        <w:rPr>
          <w:rFonts w:ascii="David" w:hAnsi="David" w:cs="David"/>
          <w:sz w:val="24"/>
          <w:szCs w:val="24"/>
          <w:rtl/>
        </w:rPr>
        <w:t>עשויים להגיע לעשרות ואף למאות אלפי שקלים</w:t>
      </w:r>
      <w:r w:rsidR="00C4112F">
        <w:rPr>
          <w:rFonts w:ascii="David" w:hAnsi="David" w:cs="David" w:hint="cs"/>
          <w:sz w:val="24"/>
          <w:szCs w:val="24"/>
          <w:rtl/>
        </w:rPr>
        <w:t>, וזאת</w:t>
      </w:r>
      <w:r w:rsidR="00C4112F" w:rsidRPr="004A536C">
        <w:rPr>
          <w:rFonts w:ascii="David" w:hAnsi="David" w:cs="David" w:hint="cs"/>
          <w:sz w:val="24"/>
          <w:szCs w:val="24"/>
          <w:rtl/>
        </w:rPr>
        <w:t xml:space="preserve"> </w:t>
      </w:r>
      <w:r w:rsidR="00084976">
        <w:rPr>
          <w:rFonts w:ascii="David" w:hAnsi="David" w:cs="David" w:hint="cs"/>
          <w:sz w:val="24"/>
          <w:szCs w:val="24"/>
          <w:rtl/>
        </w:rPr>
        <w:t xml:space="preserve">אך </w:t>
      </w:r>
      <w:r w:rsidR="00C4112F">
        <w:rPr>
          <w:rFonts w:ascii="David" w:hAnsi="David" w:cs="David" w:hint="cs"/>
          <w:sz w:val="24"/>
          <w:szCs w:val="24"/>
          <w:rtl/>
        </w:rPr>
        <w:t xml:space="preserve">בשל </w:t>
      </w:r>
      <w:r w:rsidR="00084976">
        <w:rPr>
          <w:rFonts w:ascii="David" w:hAnsi="David" w:cs="David" w:hint="cs"/>
          <w:sz w:val="24"/>
          <w:szCs w:val="24"/>
          <w:rtl/>
        </w:rPr>
        <w:t>שיהוי של מספר חודשים</w:t>
      </w:r>
      <w:r w:rsidR="00C4112F">
        <w:rPr>
          <w:rFonts w:ascii="David" w:hAnsi="David" w:cs="David" w:hint="cs"/>
          <w:sz w:val="24"/>
          <w:szCs w:val="24"/>
          <w:rtl/>
        </w:rPr>
        <w:t xml:space="preserve"> ביציאה מישראל.</w:t>
      </w:r>
      <w:r w:rsidR="00C4112F" w:rsidRPr="004A536C">
        <w:rPr>
          <w:rFonts w:ascii="David" w:hAnsi="David" w:cs="David"/>
          <w:sz w:val="24"/>
          <w:szCs w:val="24"/>
          <w:rtl/>
        </w:rPr>
        <w:t xml:space="preserve"> </w:t>
      </w:r>
      <w:r w:rsidR="00C4112F">
        <w:rPr>
          <w:rFonts w:ascii="David" w:hAnsi="David" w:cs="David" w:hint="cs"/>
          <w:sz w:val="24"/>
          <w:szCs w:val="24"/>
          <w:rtl/>
        </w:rPr>
        <w:t xml:space="preserve">עוד צוין כי </w:t>
      </w:r>
      <w:r w:rsidR="004C065B" w:rsidRPr="004A536C">
        <w:rPr>
          <w:rFonts w:ascii="David" w:hAnsi="David" w:cs="David" w:hint="cs"/>
          <w:sz w:val="24"/>
          <w:szCs w:val="24"/>
          <w:rtl/>
        </w:rPr>
        <w:t xml:space="preserve">מנגנון זה מופעל </w:t>
      </w:r>
      <w:r w:rsidR="004C065B" w:rsidRPr="004A536C">
        <w:rPr>
          <w:rFonts w:ascii="David" w:hAnsi="David" w:cs="David"/>
          <w:sz w:val="24"/>
          <w:szCs w:val="24"/>
          <w:rtl/>
        </w:rPr>
        <w:t xml:space="preserve">ביחס לאוכלוסייה פגיעה ביותר, </w:t>
      </w:r>
      <w:r w:rsidR="00C4112F">
        <w:rPr>
          <w:rFonts w:ascii="David" w:hAnsi="David" w:cs="David" w:hint="cs"/>
          <w:sz w:val="24"/>
          <w:szCs w:val="24"/>
          <w:rtl/>
        </w:rPr>
        <w:t xml:space="preserve">שתישלל ממנה רשת ההגנה המינימלית שעמה </w:t>
      </w:r>
      <w:r w:rsidR="00935107" w:rsidRPr="004A536C">
        <w:rPr>
          <w:rFonts w:ascii="David" w:hAnsi="David" w:cs="David"/>
          <w:sz w:val="24"/>
          <w:szCs w:val="24"/>
          <w:rtl/>
        </w:rPr>
        <w:t>אמור העובד הזר לעזוב את ישראל לאחר תקופת עבודתו בה</w:t>
      </w:r>
      <w:r w:rsidR="0009585E">
        <w:rPr>
          <w:rFonts w:ascii="David" w:hAnsi="David" w:cs="David" w:hint="cs"/>
          <w:sz w:val="24"/>
          <w:szCs w:val="24"/>
          <w:rtl/>
        </w:rPr>
        <w:t>. כן צוין</w:t>
      </w:r>
      <w:r w:rsidR="00084976">
        <w:rPr>
          <w:rFonts w:ascii="David" w:hAnsi="David" w:cs="David" w:hint="cs"/>
          <w:sz w:val="24"/>
          <w:szCs w:val="24"/>
          <w:rtl/>
        </w:rPr>
        <w:t xml:space="preserve"> </w:t>
      </w:r>
      <w:r w:rsidR="00935107">
        <w:rPr>
          <w:rFonts w:ascii="David" w:hAnsi="David" w:cs="David" w:hint="cs"/>
          <w:sz w:val="24"/>
          <w:szCs w:val="24"/>
          <w:rtl/>
        </w:rPr>
        <w:t xml:space="preserve">כי ביחס </w:t>
      </w:r>
      <w:r w:rsidR="004C065B" w:rsidRPr="004A536C">
        <w:rPr>
          <w:rFonts w:ascii="David" w:hAnsi="David" w:cs="David" w:hint="cs"/>
          <w:sz w:val="24"/>
          <w:szCs w:val="24"/>
          <w:rtl/>
        </w:rPr>
        <w:t>לעובדים מסתננים</w:t>
      </w:r>
      <w:r w:rsidR="00084976">
        <w:rPr>
          <w:rFonts w:ascii="David" w:hAnsi="David" w:cs="David" w:hint="cs"/>
          <w:sz w:val="24"/>
          <w:szCs w:val="24"/>
          <w:rtl/>
        </w:rPr>
        <w:t xml:space="preserve"> </w:t>
      </w:r>
      <w:r w:rsidR="00084976">
        <w:rPr>
          <w:rFonts w:ascii="David" w:hAnsi="David" w:cs="David"/>
          <w:sz w:val="24"/>
          <w:szCs w:val="24"/>
          <w:rtl/>
        </w:rPr>
        <w:t>–</w:t>
      </w:r>
      <w:r w:rsidR="004A536C" w:rsidRPr="004A536C">
        <w:rPr>
          <w:rFonts w:ascii="David" w:hAnsi="David" w:cs="David" w:hint="cs"/>
          <w:sz w:val="24"/>
          <w:szCs w:val="24"/>
          <w:rtl/>
        </w:rPr>
        <w:t xml:space="preserve"> </w:t>
      </w:r>
      <w:r>
        <w:rPr>
          <w:rFonts w:ascii="David" w:hAnsi="David" w:cs="David" w:hint="cs"/>
          <w:sz w:val="24"/>
          <w:szCs w:val="24"/>
          <w:rtl/>
        </w:rPr>
        <w:t>ש</w:t>
      </w:r>
      <w:r w:rsidR="004A536C" w:rsidRPr="004A536C">
        <w:rPr>
          <w:rFonts w:ascii="David" w:hAnsi="David" w:cs="David" w:hint="cs"/>
          <w:sz w:val="24"/>
          <w:szCs w:val="24"/>
          <w:rtl/>
        </w:rPr>
        <w:t xml:space="preserve">נכנסו לישראל </w:t>
      </w:r>
      <w:r>
        <w:rPr>
          <w:rFonts w:ascii="David" w:hAnsi="David" w:cs="David" w:hint="cs"/>
          <w:sz w:val="24"/>
          <w:szCs w:val="24"/>
          <w:rtl/>
        </w:rPr>
        <w:t xml:space="preserve">שלא </w:t>
      </w:r>
      <w:r w:rsidR="004A536C" w:rsidRPr="004A536C">
        <w:rPr>
          <w:rFonts w:ascii="David" w:hAnsi="David" w:cs="David" w:hint="cs"/>
          <w:sz w:val="24"/>
          <w:szCs w:val="24"/>
          <w:rtl/>
        </w:rPr>
        <w:t>כדין</w:t>
      </w:r>
      <w:r w:rsidR="00084976">
        <w:rPr>
          <w:rFonts w:ascii="David" w:hAnsi="David" w:cs="David" w:hint="cs"/>
          <w:sz w:val="24"/>
          <w:szCs w:val="24"/>
          <w:rtl/>
        </w:rPr>
        <w:t xml:space="preserve"> </w:t>
      </w:r>
      <w:r w:rsidR="00084976">
        <w:rPr>
          <w:rFonts w:ascii="David" w:hAnsi="David" w:cs="David"/>
          <w:sz w:val="24"/>
          <w:szCs w:val="24"/>
          <w:rtl/>
        </w:rPr>
        <w:t>–</w:t>
      </w:r>
      <w:r w:rsidR="00C4112F">
        <w:rPr>
          <w:rFonts w:ascii="David" w:hAnsi="David" w:cs="David" w:hint="cs"/>
          <w:sz w:val="24"/>
          <w:szCs w:val="24"/>
          <w:rtl/>
        </w:rPr>
        <w:t xml:space="preserve"> </w:t>
      </w:r>
      <w:r w:rsidR="00084976">
        <w:rPr>
          <w:rFonts w:ascii="David" w:hAnsi="David" w:cs="David" w:hint="cs"/>
          <w:sz w:val="24"/>
          <w:szCs w:val="24"/>
          <w:rtl/>
        </w:rPr>
        <w:t xml:space="preserve">קיים כיום </w:t>
      </w:r>
      <w:r w:rsidR="00C4112F">
        <w:rPr>
          <w:rFonts w:ascii="David" w:hAnsi="David" w:cs="David" w:hint="cs"/>
          <w:sz w:val="24"/>
          <w:szCs w:val="24"/>
          <w:rtl/>
        </w:rPr>
        <w:t xml:space="preserve">הסדר החושף </w:t>
      </w:r>
      <w:r w:rsidR="004A536C" w:rsidRPr="004A536C">
        <w:rPr>
          <w:rFonts w:ascii="David" w:hAnsi="David" w:cs="David" w:hint="cs"/>
          <w:sz w:val="24"/>
          <w:szCs w:val="24"/>
          <w:rtl/>
        </w:rPr>
        <w:t xml:space="preserve">לכל היותר 33% מהפרשות </w:t>
      </w:r>
      <w:r w:rsidR="00C4112F">
        <w:rPr>
          <w:rFonts w:ascii="David" w:hAnsi="David" w:cs="David" w:hint="cs"/>
          <w:sz w:val="24"/>
          <w:szCs w:val="24"/>
          <w:rtl/>
        </w:rPr>
        <w:t xml:space="preserve">המעסיק </w:t>
      </w:r>
      <w:r w:rsidR="004A536C" w:rsidRPr="004A536C">
        <w:rPr>
          <w:rFonts w:ascii="David" w:hAnsi="David" w:cs="David" w:hint="cs"/>
          <w:sz w:val="24"/>
          <w:szCs w:val="24"/>
          <w:rtl/>
        </w:rPr>
        <w:t xml:space="preserve">לאפשרות של ניכוי. </w:t>
      </w:r>
      <w:r w:rsidR="00935107">
        <w:rPr>
          <w:rFonts w:ascii="David" w:hAnsi="David" w:cs="David" w:hint="cs"/>
          <w:sz w:val="24"/>
          <w:szCs w:val="24"/>
          <w:rtl/>
        </w:rPr>
        <w:t>לפיכך, נקבע כי</w:t>
      </w:r>
      <w:r w:rsidR="004A536C" w:rsidRPr="004A536C">
        <w:rPr>
          <w:rFonts w:ascii="David" w:hAnsi="David" w:cs="David"/>
          <w:sz w:val="24"/>
          <w:szCs w:val="24"/>
          <w:rtl/>
        </w:rPr>
        <w:t xml:space="preserve"> אין מנוס מן המסקנה </w:t>
      </w:r>
      <w:r w:rsidR="00935107">
        <w:rPr>
          <w:rFonts w:ascii="David" w:hAnsi="David" w:cs="David" w:hint="cs"/>
          <w:sz w:val="24"/>
          <w:szCs w:val="24"/>
          <w:rtl/>
        </w:rPr>
        <w:t xml:space="preserve">לפיה </w:t>
      </w:r>
      <w:r w:rsidR="004A536C" w:rsidRPr="004A536C">
        <w:rPr>
          <w:rFonts w:ascii="David" w:hAnsi="David" w:cs="David"/>
          <w:sz w:val="24"/>
          <w:szCs w:val="24"/>
          <w:rtl/>
        </w:rPr>
        <w:t xml:space="preserve">מנגנון הניכוי </w:t>
      </w:r>
      <w:r w:rsidR="004A536C" w:rsidRPr="004A536C">
        <w:rPr>
          <w:rFonts w:ascii="David" w:hAnsi="David" w:cs="David" w:hint="cs"/>
          <w:sz w:val="24"/>
          <w:szCs w:val="24"/>
          <w:rtl/>
        </w:rPr>
        <w:t>פוגע בזכות לקניין באופן בלתי מידתי</w:t>
      </w:r>
      <w:r w:rsidR="004A536C" w:rsidRPr="004A536C">
        <w:rPr>
          <w:rFonts w:ascii="David" w:hAnsi="David" w:cs="David"/>
          <w:sz w:val="24"/>
          <w:szCs w:val="24"/>
          <w:rtl/>
        </w:rPr>
        <w:t>, ומשכך הוא אינו חוקתי.</w:t>
      </w:r>
    </w:p>
    <w:p w:rsidR="00074B9F" w:rsidRPr="00783C9E" w:rsidRDefault="00074B9F" w:rsidP="00074B9F">
      <w:pPr>
        <w:pStyle w:val="Ruller41"/>
        <w:rPr>
          <w:rFonts w:ascii="David" w:hAnsi="David" w:cs="David"/>
          <w:sz w:val="24"/>
          <w:szCs w:val="24"/>
          <w:rtl/>
        </w:rPr>
      </w:pPr>
    </w:p>
    <w:p w:rsidR="004A536C" w:rsidRDefault="004A536C" w:rsidP="00D91EA8">
      <w:pPr>
        <w:pStyle w:val="Ruller41"/>
        <w:rPr>
          <w:rFonts w:ascii="David" w:hAnsi="David" w:cs="David"/>
          <w:sz w:val="24"/>
          <w:szCs w:val="24"/>
          <w:rtl/>
        </w:rPr>
      </w:pPr>
      <w:r w:rsidRPr="004A536C">
        <w:rPr>
          <w:rFonts w:ascii="David" w:hAnsi="David" w:cs="David" w:hint="cs"/>
          <w:sz w:val="24"/>
          <w:szCs w:val="24"/>
          <w:rtl/>
        </w:rPr>
        <w:t xml:space="preserve">במישור </w:t>
      </w:r>
      <w:r w:rsidR="00074B9F" w:rsidRPr="004A536C">
        <w:rPr>
          <w:rFonts w:ascii="David" w:hAnsi="David" w:cs="David"/>
          <w:sz w:val="24"/>
          <w:szCs w:val="24"/>
          <w:rtl/>
        </w:rPr>
        <w:t xml:space="preserve">הסעד </w:t>
      </w:r>
      <w:r w:rsidR="00935107">
        <w:rPr>
          <w:rFonts w:ascii="David" w:hAnsi="David" w:cs="David" w:hint="cs"/>
          <w:sz w:val="24"/>
          <w:szCs w:val="24"/>
          <w:rtl/>
        </w:rPr>
        <w:t>נקבע בדעת הרוב כי</w:t>
      </w:r>
      <w:r w:rsidRPr="004A536C">
        <w:rPr>
          <w:rFonts w:ascii="David" w:hAnsi="David" w:cs="David" w:hint="cs"/>
          <w:sz w:val="24"/>
          <w:szCs w:val="24"/>
          <w:rtl/>
        </w:rPr>
        <w:t xml:space="preserve"> </w:t>
      </w:r>
      <w:r w:rsidR="0009585E" w:rsidRPr="004A536C">
        <w:rPr>
          <w:rFonts w:ascii="David" w:hAnsi="David" w:cs="David"/>
          <w:sz w:val="24"/>
          <w:szCs w:val="24"/>
          <w:rtl/>
        </w:rPr>
        <w:t xml:space="preserve">מן הראוי </w:t>
      </w:r>
      <w:proofErr w:type="spellStart"/>
      <w:r w:rsidR="0009585E" w:rsidRPr="004A536C">
        <w:rPr>
          <w:rFonts w:ascii="David" w:hAnsi="David" w:cs="David"/>
          <w:sz w:val="24"/>
          <w:szCs w:val="24"/>
          <w:rtl/>
        </w:rPr>
        <w:t>ליתן</w:t>
      </w:r>
      <w:proofErr w:type="spellEnd"/>
      <w:r w:rsidR="0009585E" w:rsidRPr="004A536C">
        <w:rPr>
          <w:rFonts w:ascii="David" w:hAnsi="David" w:cs="David"/>
          <w:sz w:val="24"/>
          <w:szCs w:val="24"/>
          <w:rtl/>
        </w:rPr>
        <w:t xml:space="preserve"> לכנסת ולשרים הרלוונטיים שהות</w:t>
      </w:r>
      <w:r w:rsidR="0009585E" w:rsidRPr="004A536C">
        <w:rPr>
          <w:rFonts w:ascii="David" w:hAnsi="David" w:cs="David" w:hint="cs"/>
          <w:sz w:val="24"/>
          <w:szCs w:val="24"/>
          <w:rtl/>
        </w:rPr>
        <w:t xml:space="preserve"> של שישה חודשים</w:t>
      </w:r>
      <w:r w:rsidR="0009585E" w:rsidRPr="004A536C">
        <w:rPr>
          <w:rFonts w:ascii="David" w:hAnsi="David" w:cs="David"/>
          <w:sz w:val="24"/>
          <w:szCs w:val="24"/>
          <w:rtl/>
        </w:rPr>
        <w:t xml:space="preserve"> לגבש הסדר חלופי שייתן מענה לקשיים הקיימים בהסדר הנוכחי</w:t>
      </w:r>
      <w:r w:rsidR="0009585E">
        <w:rPr>
          <w:rFonts w:ascii="David" w:hAnsi="David" w:cs="David" w:hint="cs"/>
          <w:sz w:val="24"/>
          <w:szCs w:val="24"/>
          <w:rtl/>
        </w:rPr>
        <w:t xml:space="preserve">. זאת, </w:t>
      </w:r>
      <w:r w:rsidR="0009585E" w:rsidRPr="004A536C">
        <w:rPr>
          <w:rFonts w:ascii="David" w:hAnsi="David" w:cs="David"/>
          <w:sz w:val="24"/>
          <w:szCs w:val="24"/>
          <w:rtl/>
        </w:rPr>
        <w:t xml:space="preserve">בשים לב לכך שבענייננו לא נפל פגם בעצם קיומו של מנגנון </w:t>
      </w:r>
      <w:r w:rsidR="0009585E">
        <w:rPr>
          <w:rFonts w:ascii="David" w:hAnsi="David" w:cs="David" w:hint="cs"/>
          <w:sz w:val="24"/>
          <w:szCs w:val="24"/>
          <w:rtl/>
        </w:rPr>
        <w:t>ה</w:t>
      </w:r>
      <w:r w:rsidR="0009585E" w:rsidRPr="004A536C">
        <w:rPr>
          <w:rFonts w:ascii="David" w:hAnsi="David" w:cs="David"/>
          <w:sz w:val="24"/>
          <w:szCs w:val="24"/>
          <w:rtl/>
        </w:rPr>
        <w:t>ניכוי אלא בהוראותיו הספציפיות הנוגעות</w:t>
      </w:r>
      <w:r w:rsidR="0009585E">
        <w:rPr>
          <w:rFonts w:ascii="David" w:hAnsi="David" w:cs="David"/>
          <w:sz w:val="24"/>
          <w:szCs w:val="24"/>
          <w:rtl/>
        </w:rPr>
        <w:t xml:space="preserve"> לחשיפת כלל כספי הפיקדון לניכוי</w:t>
      </w:r>
      <w:r w:rsidR="0009585E">
        <w:rPr>
          <w:rFonts w:ascii="David" w:hAnsi="David" w:cs="David" w:hint="cs"/>
          <w:sz w:val="24"/>
          <w:szCs w:val="24"/>
          <w:rtl/>
        </w:rPr>
        <w:t xml:space="preserve">; וכן בשים לב לכך </w:t>
      </w:r>
      <w:r w:rsidR="00935107">
        <w:rPr>
          <w:rFonts w:ascii="David" w:hAnsi="David" w:cs="David" w:hint="cs"/>
          <w:sz w:val="24"/>
          <w:szCs w:val="24"/>
          <w:rtl/>
        </w:rPr>
        <w:t>ש</w:t>
      </w:r>
      <w:r w:rsidR="00074B9F" w:rsidRPr="004A536C">
        <w:rPr>
          <w:rFonts w:ascii="David" w:hAnsi="David" w:cs="David"/>
          <w:sz w:val="24"/>
          <w:szCs w:val="24"/>
          <w:rtl/>
        </w:rPr>
        <w:t>ביטול מנגנון הניכוי</w:t>
      </w:r>
      <w:r w:rsidR="0009585E">
        <w:rPr>
          <w:rFonts w:ascii="David" w:hAnsi="David" w:cs="David" w:hint="cs"/>
          <w:sz w:val="24"/>
          <w:szCs w:val="24"/>
          <w:rtl/>
        </w:rPr>
        <w:t xml:space="preserve"> לחלוטין יש בו כדי לפגוע </w:t>
      </w:r>
      <w:r w:rsidR="00074B9F" w:rsidRPr="004A536C">
        <w:rPr>
          <w:rFonts w:ascii="David" w:hAnsi="David" w:cs="David"/>
          <w:sz w:val="24"/>
          <w:szCs w:val="24"/>
          <w:rtl/>
        </w:rPr>
        <w:t>בהשגת התכלית של עידוד יציאת העובד הזר מישראל במועד</w:t>
      </w:r>
      <w:r w:rsidR="00935107">
        <w:rPr>
          <w:rFonts w:ascii="David" w:hAnsi="David" w:cs="David" w:hint="cs"/>
          <w:sz w:val="24"/>
          <w:szCs w:val="24"/>
          <w:rtl/>
        </w:rPr>
        <w:t>,</w:t>
      </w:r>
      <w:r w:rsidR="00074B9F" w:rsidRPr="004A536C">
        <w:rPr>
          <w:rFonts w:ascii="David" w:hAnsi="David" w:cs="David"/>
          <w:sz w:val="24"/>
          <w:szCs w:val="24"/>
          <w:rtl/>
        </w:rPr>
        <w:t xml:space="preserve"> </w:t>
      </w:r>
      <w:r w:rsidR="0009585E">
        <w:rPr>
          <w:rFonts w:ascii="David" w:hAnsi="David" w:cs="David" w:hint="cs"/>
          <w:sz w:val="24"/>
          <w:szCs w:val="24"/>
          <w:rtl/>
        </w:rPr>
        <w:t>שהיא כשלעצמה תכלית ראויה</w:t>
      </w:r>
      <w:r w:rsidR="00074B9F" w:rsidRPr="004A536C">
        <w:rPr>
          <w:rFonts w:ascii="David" w:hAnsi="David" w:cs="David"/>
          <w:sz w:val="24"/>
          <w:szCs w:val="24"/>
          <w:rtl/>
        </w:rPr>
        <w:t>.</w:t>
      </w:r>
      <w:r w:rsidR="007E0184">
        <w:rPr>
          <w:rFonts w:ascii="David" w:hAnsi="David" w:cs="David" w:hint="cs"/>
          <w:sz w:val="24"/>
          <w:szCs w:val="24"/>
          <w:rtl/>
        </w:rPr>
        <w:t xml:space="preserve"> עוד נקבע כי</w:t>
      </w:r>
      <w:r w:rsidRPr="004A536C">
        <w:rPr>
          <w:rFonts w:ascii="David" w:hAnsi="David" w:cs="David" w:hint="cs"/>
          <w:sz w:val="24"/>
          <w:szCs w:val="24"/>
          <w:rtl/>
        </w:rPr>
        <w:t xml:space="preserve"> </w:t>
      </w:r>
      <w:r w:rsidR="00074B9F" w:rsidRPr="004A536C">
        <w:rPr>
          <w:rFonts w:ascii="David" w:hAnsi="David" w:cs="David"/>
          <w:sz w:val="24"/>
          <w:szCs w:val="24"/>
          <w:rtl/>
        </w:rPr>
        <w:t xml:space="preserve">ככל שלא יגובש הסדר חלופי כאמור </w:t>
      </w:r>
      <w:r w:rsidRPr="004A536C">
        <w:rPr>
          <w:rFonts w:ascii="David" w:hAnsi="David" w:cs="David" w:hint="cs"/>
          <w:sz w:val="24"/>
          <w:szCs w:val="24"/>
          <w:rtl/>
        </w:rPr>
        <w:t xml:space="preserve">בתום </w:t>
      </w:r>
      <w:r w:rsidR="007E0184">
        <w:rPr>
          <w:rFonts w:ascii="David" w:hAnsi="David" w:cs="David" w:hint="cs"/>
          <w:sz w:val="24"/>
          <w:szCs w:val="24"/>
          <w:rtl/>
        </w:rPr>
        <w:t>ה</w:t>
      </w:r>
      <w:r w:rsidRPr="004A536C">
        <w:rPr>
          <w:rFonts w:ascii="David" w:hAnsi="David" w:cs="David" w:hint="cs"/>
          <w:sz w:val="24"/>
          <w:szCs w:val="24"/>
          <w:rtl/>
        </w:rPr>
        <w:t xml:space="preserve">תקופה </w:t>
      </w:r>
      <w:r w:rsidR="007E0184">
        <w:rPr>
          <w:rFonts w:ascii="David" w:hAnsi="David" w:cs="David" w:hint="cs"/>
          <w:sz w:val="24"/>
          <w:szCs w:val="24"/>
          <w:rtl/>
        </w:rPr>
        <w:t>האמורה</w:t>
      </w:r>
      <w:r w:rsidR="00074B9F" w:rsidRPr="004A536C">
        <w:rPr>
          <w:rFonts w:ascii="David" w:hAnsi="David" w:cs="David"/>
          <w:sz w:val="24"/>
          <w:szCs w:val="24"/>
          <w:rtl/>
        </w:rPr>
        <w:t>, י</w:t>
      </w:r>
      <w:r w:rsidRPr="004A536C">
        <w:rPr>
          <w:rFonts w:ascii="David" w:hAnsi="David" w:cs="David" w:hint="cs"/>
          <w:sz w:val="24"/>
          <w:szCs w:val="24"/>
          <w:rtl/>
        </w:rPr>
        <w:t xml:space="preserve">בוטל הסדר </w:t>
      </w:r>
      <w:r>
        <w:rPr>
          <w:rFonts w:ascii="David" w:hAnsi="David" w:cs="David" w:hint="cs"/>
          <w:sz w:val="24"/>
          <w:szCs w:val="24"/>
          <w:rtl/>
        </w:rPr>
        <w:t>ה</w:t>
      </w:r>
      <w:r w:rsidRPr="004A536C">
        <w:rPr>
          <w:rFonts w:ascii="David" w:hAnsi="David" w:cs="David" w:hint="cs"/>
          <w:sz w:val="24"/>
          <w:szCs w:val="24"/>
          <w:rtl/>
        </w:rPr>
        <w:t>ניכוי</w:t>
      </w:r>
      <w:r w:rsidR="00084976">
        <w:rPr>
          <w:rFonts w:ascii="David" w:hAnsi="David" w:cs="David" w:hint="cs"/>
          <w:sz w:val="24"/>
          <w:szCs w:val="24"/>
          <w:rtl/>
        </w:rPr>
        <w:t xml:space="preserve"> והכספים שנוכו מכוחו יושבו </w:t>
      </w:r>
      <w:r w:rsidR="0009585E">
        <w:rPr>
          <w:rFonts w:ascii="David" w:hAnsi="David" w:cs="David" w:hint="cs"/>
          <w:sz w:val="24"/>
          <w:szCs w:val="24"/>
          <w:rtl/>
        </w:rPr>
        <w:t>לעובדים הזכאים</w:t>
      </w:r>
      <w:r w:rsidR="00084976">
        <w:rPr>
          <w:rFonts w:ascii="David" w:hAnsi="David" w:cs="David" w:hint="cs"/>
          <w:sz w:val="24"/>
          <w:szCs w:val="24"/>
          <w:rtl/>
        </w:rPr>
        <w:t xml:space="preserve"> להם</w:t>
      </w:r>
      <w:r w:rsidRPr="004A536C">
        <w:rPr>
          <w:rFonts w:ascii="David" w:hAnsi="David" w:cs="David" w:hint="cs"/>
          <w:sz w:val="24"/>
          <w:szCs w:val="24"/>
          <w:rtl/>
        </w:rPr>
        <w:t>.</w:t>
      </w:r>
      <w:r w:rsidR="00084976">
        <w:rPr>
          <w:rFonts w:ascii="David" w:hAnsi="David" w:cs="David" w:hint="cs"/>
          <w:sz w:val="24"/>
          <w:szCs w:val="24"/>
          <w:rtl/>
        </w:rPr>
        <w:t xml:space="preserve"> ביחס לעותרים הפרטניים שהגישו את </w:t>
      </w:r>
      <w:r w:rsidR="00D91EA8">
        <w:rPr>
          <w:rFonts w:ascii="David" w:hAnsi="David" w:cs="David" w:hint="cs"/>
          <w:sz w:val="24"/>
          <w:szCs w:val="24"/>
          <w:rtl/>
        </w:rPr>
        <w:t>העתירות</w:t>
      </w:r>
      <w:r w:rsidR="00084976">
        <w:rPr>
          <w:rFonts w:ascii="David" w:hAnsi="David" w:cs="David" w:hint="cs"/>
          <w:sz w:val="24"/>
          <w:szCs w:val="24"/>
          <w:rtl/>
        </w:rPr>
        <w:t xml:space="preserve">, נקבע כי הם זכאים כבר עתה לקבלת כספי הפיקדון שנשללו מהם. </w:t>
      </w:r>
    </w:p>
    <w:p w:rsidR="004A536C" w:rsidRDefault="004A536C" w:rsidP="004A536C">
      <w:pPr>
        <w:pStyle w:val="Ruller41"/>
        <w:rPr>
          <w:rFonts w:ascii="David" w:hAnsi="David" w:cs="David"/>
          <w:sz w:val="24"/>
          <w:szCs w:val="24"/>
          <w:rtl/>
        </w:rPr>
      </w:pPr>
    </w:p>
    <w:p w:rsidR="00074B9F" w:rsidRDefault="004A536C" w:rsidP="009E1D91">
      <w:pPr>
        <w:pStyle w:val="Ruller41"/>
        <w:rPr>
          <w:rFonts w:ascii="David" w:hAnsi="David" w:cs="David"/>
          <w:sz w:val="24"/>
          <w:szCs w:val="24"/>
          <w:rtl/>
        </w:rPr>
      </w:pPr>
      <w:r>
        <w:rPr>
          <w:rFonts w:ascii="David" w:hAnsi="David" w:cs="David" w:hint="cs"/>
          <w:sz w:val="24"/>
          <w:szCs w:val="24"/>
          <w:rtl/>
        </w:rPr>
        <w:t xml:space="preserve">השופטת ברק-ארז, שהצטרפה כאמור </w:t>
      </w:r>
      <w:r w:rsidR="00C319E1">
        <w:rPr>
          <w:rFonts w:ascii="David" w:hAnsi="David" w:cs="David" w:hint="cs"/>
          <w:sz w:val="24"/>
          <w:szCs w:val="24"/>
          <w:rtl/>
        </w:rPr>
        <w:t>לדעת הרוב</w:t>
      </w:r>
      <w:r>
        <w:rPr>
          <w:rFonts w:ascii="David" w:hAnsi="David" w:cs="David" w:hint="cs"/>
          <w:sz w:val="24"/>
          <w:szCs w:val="24"/>
          <w:rtl/>
        </w:rPr>
        <w:t xml:space="preserve">, הוסיפה כי בחלק מן המקרים שעליהם חל ההסדר, </w:t>
      </w:r>
      <w:r w:rsidR="003B3885">
        <w:rPr>
          <w:rFonts w:ascii="David" w:hAnsi="David" w:cs="David" w:hint="cs"/>
          <w:sz w:val="24"/>
          <w:szCs w:val="24"/>
          <w:rtl/>
        </w:rPr>
        <w:t xml:space="preserve">ובפרט בעניינם של עובדים מבוגרים התלויים בחיסכון שצברו, </w:t>
      </w:r>
      <w:r>
        <w:rPr>
          <w:rFonts w:ascii="David" w:hAnsi="David" w:cs="David" w:hint="cs"/>
          <w:sz w:val="24"/>
          <w:szCs w:val="24"/>
          <w:rtl/>
        </w:rPr>
        <w:t xml:space="preserve">הוא </w:t>
      </w:r>
      <w:r w:rsidR="00523BBA">
        <w:rPr>
          <w:rFonts w:ascii="David" w:hAnsi="David" w:cs="David" w:hint="cs"/>
          <w:sz w:val="24"/>
          <w:szCs w:val="24"/>
          <w:rtl/>
        </w:rPr>
        <w:t xml:space="preserve">לא רק </w:t>
      </w:r>
      <w:r>
        <w:rPr>
          <w:rFonts w:ascii="David" w:hAnsi="David" w:cs="David" w:hint="cs"/>
          <w:sz w:val="24"/>
          <w:szCs w:val="24"/>
          <w:rtl/>
        </w:rPr>
        <w:t>מגלם פגיעה בזכות לקניין</w:t>
      </w:r>
      <w:r w:rsidR="003B3885">
        <w:rPr>
          <w:rFonts w:ascii="David" w:hAnsi="David" w:cs="David" w:hint="cs"/>
          <w:sz w:val="24"/>
          <w:szCs w:val="24"/>
          <w:rtl/>
        </w:rPr>
        <w:t>,</w:t>
      </w:r>
      <w:r>
        <w:rPr>
          <w:rFonts w:ascii="David" w:hAnsi="David" w:cs="David" w:hint="cs"/>
          <w:sz w:val="24"/>
          <w:szCs w:val="24"/>
          <w:rtl/>
        </w:rPr>
        <w:t xml:space="preserve"> אלא</w:t>
      </w:r>
      <w:r w:rsidR="003B3885">
        <w:rPr>
          <w:rFonts w:ascii="David" w:hAnsi="David" w:cs="David" w:hint="cs"/>
          <w:sz w:val="24"/>
          <w:szCs w:val="24"/>
          <w:rtl/>
        </w:rPr>
        <w:t xml:space="preserve"> עלול להשפיע</w:t>
      </w:r>
      <w:r>
        <w:rPr>
          <w:rFonts w:ascii="David" w:hAnsi="David" w:cs="David" w:hint="cs"/>
          <w:sz w:val="24"/>
          <w:szCs w:val="24"/>
          <w:rtl/>
        </w:rPr>
        <w:t xml:space="preserve"> גם על הזכות לקיום מינימלי בכבוד. </w:t>
      </w:r>
      <w:r w:rsidR="00EA4A4F">
        <w:rPr>
          <w:rFonts w:ascii="David" w:hAnsi="David" w:cs="David" w:hint="cs"/>
          <w:sz w:val="24"/>
          <w:szCs w:val="24"/>
          <w:rtl/>
        </w:rPr>
        <w:t xml:space="preserve">כמו </w:t>
      </w:r>
      <w:r w:rsidR="00B65E73">
        <w:rPr>
          <w:rFonts w:ascii="David" w:hAnsi="David" w:cs="David" w:hint="cs"/>
          <w:sz w:val="24"/>
          <w:szCs w:val="24"/>
          <w:rtl/>
        </w:rPr>
        <w:t>כן</w:t>
      </w:r>
      <w:r>
        <w:rPr>
          <w:rFonts w:ascii="David" w:hAnsi="David" w:cs="David" w:hint="cs"/>
          <w:sz w:val="24"/>
          <w:szCs w:val="24"/>
          <w:rtl/>
        </w:rPr>
        <w:t xml:space="preserve"> ציינה השופטת ברק-ארז כי ההסדר מעורר </w:t>
      </w:r>
      <w:r w:rsidR="003B3885">
        <w:rPr>
          <w:rFonts w:ascii="David" w:hAnsi="David" w:cs="David" w:hint="cs"/>
          <w:sz w:val="24"/>
          <w:szCs w:val="24"/>
          <w:rtl/>
        </w:rPr>
        <w:t>שאלות</w:t>
      </w:r>
      <w:r>
        <w:rPr>
          <w:rFonts w:ascii="David" w:hAnsi="David" w:cs="David" w:hint="cs"/>
          <w:sz w:val="24"/>
          <w:szCs w:val="24"/>
          <w:rtl/>
        </w:rPr>
        <w:t xml:space="preserve"> גם במישור השוויון </w:t>
      </w:r>
      <w:r>
        <w:rPr>
          <w:rFonts w:ascii="David" w:hAnsi="David" w:cs="David"/>
          <w:sz w:val="24"/>
          <w:szCs w:val="24"/>
          <w:rtl/>
        </w:rPr>
        <w:t>–</w:t>
      </w:r>
      <w:r>
        <w:rPr>
          <w:rFonts w:ascii="David" w:hAnsi="David" w:cs="David" w:hint="cs"/>
          <w:sz w:val="24"/>
          <w:szCs w:val="24"/>
          <w:rtl/>
        </w:rPr>
        <w:t xml:space="preserve"> בכל הנוגע לתוצאות הכלכליות השונות שלו בתוך קבוצת מהגרי העבודה, וזאת משום שהוא אינו מביא בחשבון את גובה החיסכון שנצבר לזכות כל מהגר ופוגע באופן חמור יותר</w:t>
      </w:r>
      <w:r w:rsidR="003B3885">
        <w:rPr>
          <w:rFonts w:ascii="David" w:hAnsi="David" w:cs="David" w:hint="cs"/>
          <w:sz w:val="24"/>
          <w:szCs w:val="24"/>
          <w:rtl/>
        </w:rPr>
        <w:t xml:space="preserve"> דווקא</w:t>
      </w:r>
      <w:r>
        <w:rPr>
          <w:rFonts w:ascii="David" w:hAnsi="David" w:cs="David" w:hint="cs"/>
          <w:sz w:val="24"/>
          <w:szCs w:val="24"/>
          <w:rtl/>
        </w:rPr>
        <w:t xml:space="preserve"> במי שעבד בישראל כדין </w:t>
      </w:r>
      <w:r w:rsidR="00B65E73">
        <w:rPr>
          <w:rFonts w:ascii="David" w:hAnsi="David" w:cs="David" w:hint="cs"/>
          <w:sz w:val="24"/>
          <w:szCs w:val="24"/>
          <w:rtl/>
        </w:rPr>
        <w:t xml:space="preserve">במשך </w:t>
      </w:r>
      <w:r>
        <w:rPr>
          <w:rFonts w:ascii="David" w:hAnsi="David" w:cs="David" w:hint="cs"/>
          <w:sz w:val="24"/>
          <w:szCs w:val="24"/>
          <w:rtl/>
        </w:rPr>
        <w:t xml:space="preserve">שנים ארוכות. </w:t>
      </w:r>
    </w:p>
    <w:p w:rsidR="004A536C" w:rsidRDefault="004A536C" w:rsidP="004A536C">
      <w:pPr>
        <w:pStyle w:val="Ruller41"/>
        <w:rPr>
          <w:rFonts w:ascii="David" w:hAnsi="David" w:cs="David"/>
          <w:sz w:val="24"/>
          <w:szCs w:val="24"/>
          <w:rtl/>
        </w:rPr>
      </w:pPr>
    </w:p>
    <w:p w:rsidR="001F297C" w:rsidRDefault="001F297C" w:rsidP="001F297C">
      <w:pPr>
        <w:pStyle w:val="Ruller41"/>
        <w:rPr>
          <w:rFonts w:ascii="David" w:hAnsi="David" w:cs="David"/>
          <w:sz w:val="24"/>
          <w:szCs w:val="24"/>
          <w:rtl/>
        </w:rPr>
      </w:pPr>
      <w:r>
        <w:rPr>
          <w:rFonts w:ascii="David" w:hAnsi="David" w:cs="David" w:hint="cs"/>
          <w:sz w:val="24"/>
          <w:szCs w:val="24"/>
          <w:rtl/>
        </w:rPr>
        <w:t xml:space="preserve">השופט סולברג, בדעת מיעוט, סבר כי יש לדחות את העתירות וכי אין מקום להתערב בהסדר הניכוי. לעמדת השופט סולברג, בנסיבות העניין הזכות לקניין אינה נפגעת, וזאת בשים לב להסכמתו של האדם הזר להחיל על עצמו את תנאי העבודה שסוכמו עמו מראש; </w:t>
      </w:r>
      <w:r>
        <w:rPr>
          <w:rFonts w:ascii="David" w:hAnsi="David" w:cs="David" w:hint="cs"/>
          <w:sz w:val="24"/>
          <w:szCs w:val="24"/>
          <w:rtl/>
        </w:rPr>
        <w:lastRenderedPageBreak/>
        <w:t xml:space="preserve">לעובדה כי לאותה הסכמה נוספה פעולה אקטיבית מצדו (הימנעות מלעזוב את הארץ), שיש בה משום פגיעה בכלל אזרחי ישראל; וכן בשים לב לכך שפעולה זו מהווה עבירה על חוק הכניסה לישראל. השופט סולברג הוסיף כי אף אם היה מניח שהסדר הניכוי אכן פוגע בזכות הקניין של העותרים, לגישתו הסדר זה עדיין צולח את מבחני המידתיות. זאת, בין היתר, משום שאין די בהטלת ספק או בהעלאת סימני שאלה ביחס למידת התועלת הצומחת מן ההסדר כדי להביא לביטולו. כל עוד לא הציגו העותרים נתונים ברורים המלמדים על כך שההסדר אינו מקיים יחס ראוי בין התועלת ובין הפגיעה, לא סתרו את חזקת החוקתיות של הסדר הניכוי, והוא עומד בתוקפו. </w:t>
      </w:r>
    </w:p>
    <w:p w:rsidR="004A536C" w:rsidRDefault="004A536C" w:rsidP="004A536C">
      <w:pPr>
        <w:pStyle w:val="Ruller41"/>
        <w:rPr>
          <w:rFonts w:ascii="David" w:hAnsi="David" w:cs="David"/>
          <w:sz w:val="24"/>
          <w:szCs w:val="24"/>
          <w:rtl/>
        </w:rPr>
      </w:pPr>
    </w:p>
    <w:p w:rsidR="004A536C" w:rsidRDefault="004A536C" w:rsidP="004A536C">
      <w:pPr>
        <w:pStyle w:val="Ruller41"/>
        <w:rPr>
          <w:rFonts w:ascii="David" w:hAnsi="David" w:cs="David"/>
          <w:szCs w:val="24"/>
          <w:rtl/>
        </w:rPr>
      </w:pPr>
    </w:p>
    <w:p w:rsidR="00D92D09" w:rsidRDefault="00D92D09" w:rsidP="004A536C">
      <w:pPr>
        <w:pStyle w:val="Ruller41"/>
        <w:rPr>
          <w:rFonts w:ascii="David" w:hAnsi="David" w:cs="David"/>
          <w:szCs w:val="24"/>
          <w:rtl/>
        </w:rPr>
      </w:pPr>
    </w:p>
    <w:p w:rsidR="00D92D09" w:rsidRDefault="00D92D09" w:rsidP="004A536C">
      <w:pPr>
        <w:pStyle w:val="Ruller41"/>
        <w:rPr>
          <w:rFonts w:ascii="David" w:hAnsi="David" w:cs="David"/>
          <w:szCs w:val="24"/>
          <w:rtl/>
        </w:rPr>
      </w:pPr>
    </w:p>
    <w:p w:rsidR="005B5350" w:rsidRDefault="005B5350" w:rsidP="005B5350">
      <w:pPr>
        <w:spacing w:after="120"/>
        <w:jc w:val="center"/>
        <w:rPr>
          <w:rFonts w:ascii="FrankRuehl" w:hAnsi="FrankRuehl"/>
          <w:b/>
          <w:bCs/>
          <w:color w:val="323E4F"/>
          <w:sz w:val="26"/>
          <w:szCs w:val="26"/>
          <w:rtl/>
        </w:rPr>
      </w:pPr>
    </w:p>
    <w:p w:rsidR="00D92D09" w:rsidRDefault="00D92D09" w:rsidP="005B5350">
      <w:pPr>
        <w:spacing w:after="120"/>
        <w:jc w:val="center"/>
        <w:rPr>
          <w:rFonts w:ascii="FrankRuehl" w:hAnsi="FrankRuehl"/>
          <w:b/>
          <w:bCs/>
          <w:color w:val="323E4F"/>
          <w:spacing w:val="0"/>
          <w:sz w:val="26"/>
          <w:szCs w:val="26"/>
        </w:rPr>
      </w:pPr>
      <w:r>
        <w:rPr>
          <w:rFonts w:ascii="FrankRuehl" w:hAnsi="FrankRuehl"/>
          <w:b/>
          <w:bCs/>
          <w:color w:val="323E4F"/>
          <w:sz w:val="26"/>
          <w:szCs w:val="26"/>
          <w:rtl/>
        </w:rPr>
        <w:t>**</w:t>
      </w:r>
      <w:r w:rsidR="005B5350">
        <w:rPr>
          <w:rFonts w:ascii="FrankRuehl" w:hAnsi="FrankRuehl" w:hint="cs"/>
          <w:b/>
          <w:bCs/>
          <w:color w:val="323E4F"/>
          <w:sz w:val="26"/>
          <w:szCs w:val="26"/>
          <w:rtl/>
        </w:rPr>
        <w:t>*</w:t>
      </w:r>
      <w:r>
        <w:rPr>
          <w:rFonts w:ascii="FrankRuehl" w:hAnsi="FrankRuehl"/>
          <w:b/>
          <w:bCs/>
          <w:color w:val="323E4F"/>
          <w:sz w:val="26"/>
          <w:szCs w:val="26"/>
          <w:rtl/>
        </w:rPr>
        <w:t xml:space="preserve">התקציר אינו בא להחליף את </w:t>
      </w:r>
      <w:r w:rsidR="005B5350">
        <w:rPr>
          <w:rFonts w:ascii="FrankRuehl" w:hAnsi="FrankRuehl" w:hint="cs"/>
          <w:b/>
          <w:bCs/>
          <w:color w:val="323E4F"/>
          <w:sz w:val="26"/>
          <w:szCs w:val="26"/>
          <w:rtl/>
        </w:rPr>
        <w:t>פסק</w:t>
      </w:r>
      <w:r>
        <w:rPr>
          <w:rFonts w:ascii="FrankRuehl" w:hAnsi="FrankRuehl"/>
          <w:b/>
          <w:bCs/>
          <w:color w:val="323E4F"/>
          <w:sz w:val="26"/>
          <w:szCs w:val="26"/>
          <w:rtl/>
        </w:rPr>
        <w:t>-הדין, הנוסח המחייב הוא זה של גזר-הדין המלא**</w:t>
      </w:r>
      <w:r w:rsidR="005B5350">
        <w:rPr>
          <w:rFonts w:ascii="FrankRuehl" w:hAnsi="FrankRuehl" w:hint="cs"/>
          <w:b/>
          <w:bCs/>
          <w:color w:val="323E4F"/>
          <w:sz w:val="26"/>
          <w:szCs w:val="26"/>
          <w:rtl/>
        </w:rPr>
        <w:t>*</w:t>
      </w:r>
    </w:p>
    <w:p w:rsidR="00074B9F" w:rsidRPr="005B5350" w:rsidRDefault="00074B9F" w:rsidP="00074B9F">
      <w:pPr>
        <w:pStyle w:val="Ruller41"/>
        <w:rPr>
          <w:rFonts w:ascii="David" w:hAnsi="David" w:cs="David"/>
          <w:sz w:val="24"/>
          <w:szCs w:val="24"/>
        </w:rPr>
      </w:pPr>
      <w:bookmarkStart w:id="0" w:name="_GoBack"/>
      <w:bookmarkEnd w:id="0"/>
    </w:p>
    <w:sectPr w:rsidR="00074B9F" w:rsidRPr="005B5350">
      <w:headerReference w:type="even" r:id="rId9"/>
      <w:headerReference w:type="default" r:id="rId10"/>
      <w:footerReference w:type="even" r:id="rId11"/>
      <w:footerReference w:type="first" r:id="rId12"/>
      <w:endnotePr>
        <w:numFmt w:val="lowerLetter"/>
      </w:endnotePr>
      <w:pgSz w:w="11906" w:h="16838"/>
      <w:pgMar w:top="1440" w:right="1800" w:bottom="1440" w:left="1800" w:header="720" w:footer="720" w:gutter="0"/>
      <w:cols w:space="720"/>
      <w:titlePg/>
      <w:bidi/>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0F1B" w:rsidRDefault="004E0F1B">
      <w:r>
        <w:separator/>
      </w:r>
    </w:p>
  </w:endnote>
  <w:endnote w:type="continuationSeparator" w:id="0">
    <w:p w:rsidR="004E0F1B" w:rsidRDefault="004E0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FrankRuehl">
    <w:panose1 w:val="020E0503060101010101"/>
    <w:charset w:val="00"/>
    <w:family w:val="swiss"/>
    <w:pitch w:val="variable"/>
    <w:sig w:usb0="00000803" w:usb1="00000000" w:usb2="00000000" w:usb3="00000000" w:csb0="00000021" w:csb1="00000000"/>
  </w:font>
  <w:font w:name="Arial TUR">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David">
    <w:panose1 w:val="020E0502060401010101"/>
    <w:charset w:val="00"/>
    <w:family w:val="swiss"/>
    <w:pitch w:val="variable"/>
    <w:sig w:usb0="00000803" w:usb1="00000000" w:usb2="00000000" w:usb3="00000000" w:csb0="00000021" w:csb1="00000000"/>
  </w:font>
  <w:font w:name="Guttman Yad">
    <w:panose1 w:val="02010401010101010101"/>
    <w:charset w:val="B1"/>
    <w:family w:val="auto"/>
    <w:pitch w:val="variable"/>
    <w:sig w:usb0="00000801" w:usb1="40000000" w:usb2="00000000" w:usb3="00000000" w:csb0="0000002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3"/>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2D044C" w:rsidRDefault="002D044C">
    <w:pPr>
      <w:pStyle w:val="a3"/>
      <w:rPr>
        <w:rtl/>
      </w:rPr>
    </w:pPr>
  </w:p>
  <w:p w:rsidR="002D044C" w:rsidRDefault="002D044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3"/>
      <w:bidi w:val="0"/>
    </w:pPr>
  </w:p>
  <w:p w:rsidR="002D044C" w:rsidRDefault="002D044C">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0F1B" w:rsidRDefault="004E0F1B">
      <w:r>
        <w:separator/>
      </w:r>
    </w:p>
  </w:footnote>
  <w:footnote w:type="continuationSeparator" w:id="0">
    <w:p w:rsidR="004E0F1B" w:rsidRDefault="004E0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Pr>
        <w:rStyle w:val="a4"/>
        <w:rtl/>
      </w:rPr>
      <w:t>1</w:t>
    </w:r>
    <w:r>
      <w:rPr>
        <w:rStyle w:val="a4"/>
        <w:rtl/>
      </w:rPr>
      <w:fldChar w:fldCharType="end"/>
    </w:r>
  </w:p>
  <w:p w:rsidR="002D044C" w:rsidRDefault="002D044C">
    <w:pPr>
      <w:pStyle w:val="a5"/>
      <w:rPr>
        <w:rtl/>
      </w:rPr>
    </w:pPr>
  </w:p>
  <w:p w:rsidR="002D044C" w:rsidRDefault="002D044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044C" w:rsidRDefault="002D044C">
    <w:pPr>
      <w:pStyle w:val="a5"/>
      <w:framePr w:wrap="around" w:vAnchor="text" w:hAnchor="margin" w:xAlign="center" w:y="1"/>
      <w:rPr>
        <w:rStyle w:val="a4"/>
        <w:rtl/>
      </w:rPr>
    </w:pPr>
    <w:r>
      <w:rPr>
        <w:rStyle w:val="a4"/>
        <w:rtl/>
      </w:rPr>
      <w:fldChar w:fldCharType="begin"/>
    </w:r>
    <w:r>
      <w:rPr>
        <w:rStyle w:val="a4"/>
      </w:rPr>
      <w:instrText xml:space="preserve">PAGE  </w:instrText>
    </w:r>
    <w:r>
      <w:rPr>
        <w:rStyle w:val="a4"/>
        <w:rtl/>
      </w:rPr>
      <w:fldChar w:fldCharType="separate"/>
    </w:r>
    <w:r w:rsidR="004B1F11">
      <w:rPr>
        <w:rStyle w:val="a4"/>
        <w:noProof/>
        <w:rtl/>
      </w:rPr>
      <w:t>3</w:t>
    </w:r>
    <w:r>
      <w:rPr>
        <w:rStyle w:val="a4"/>
        <w:rtl/>
      </w:rPr>
      <w:fldChar w:fldCharType="end"/>
    </w:r>
  </w:p>
  <w:p w:rsidR="002D044C" w:rsidRDefault="002D044C">
    <w:pPr>
      <w:pStyle w:val="a5"/>
      <w:rPr>
        <w:rtl/>
      </w:rPr>
    </w:pPr>
  </w:p>
  <w:p w:rsidR="002D044C" w:rsidRDefault="002D044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0701"/>
    <w:rsid w:val="00006F39"/>
    <w:rsid w:val="00020E06"/>
    <w:rsid w:val="00021638"/>
    <w:rsid w:val="00057428"/>
    <w:rsid w:val="00064573"/>
    <w:rsid w:val="00072C1D"/>
    <w:rsid w:val="00074B88"/>
    <w:rsid w:val="00074B9F"/>
    <w:rsid w:val="00084976"/>
    <w:rsid w:val="0009258F"/>
    <w:rsid w:val="0009585E"/>
    <w:rsid w:val="000A1AB8"/>
    <w:rsid w:val="000A6ABA"/>
    <w:rsid w:val="000B2ECF"/>
    <w:rsid w:val="000B78F4"/>
    <w:rsid w:val="000B7CB1"/>
    <w:rsid w:val="000C0407"/>
    <w:rsid w:val="000D20EC"/>
    <w:rsid w:val="000D4CD3"/>
    <w:rsid w:val="000E0196"/>
    <w:rsid w:val="000E727A"/>
    <w:rsid w:val="000F5245"/>
    <w:rsid w:val="000F6A92"/>
    <w:rsid w:val="0010484A"/>
    <w:rsid w:val="0010649F"/>
    <w:rsid w:val="00180701"/>
    <w:rsid w:val="0018467D"/>
    <w:rsid w:val="00190B7D"/>
    <w:rsid w:val="001C1CD4"/>
    <w:rsid w:val="001C289E"/>
    <w:rsid w:val="001E024A"/>
    <w:rsid w:val="001E1AA2"/>
    <w:rsid w:val="001E2B1F"/>
    <w:rsid w:val="001E5945"/>
    <w:rsid w:val="001F1A70"/>
    <w:rsid w:val="001F297C"/>
    <w:rsid w:val="001F69E3"/>
    <w:rsid w:val="00210B5D"/>
    <w:rsid w:val="002219EB"/>
    <w:rsid w:val="00225777"/>
    <w:rsid w:val="00227345"/>
    <w:rsid w:val="00230156"/>
    <w:rsid w:val="0024615A"/>
    <w:rsid w:val="00254B7B"/>
    <w:rsid w:val="00267300"/>
    <w:rsid w:val="002B25BB"/>
    <w:rsid w:val="002B3337"/>
    <w:rsid w:val="002B390C"/>
    <w:rsid w:val="002C1541"/>
    <w:rsid w:val="002C2AF4"/>
    <w:rsid w:val="002C6A88"/>
    <w:rsid w:val="002D044C"/>
    <w:rsid w:val="002D48C1"/>
    <w:rsid w:val="002E4ECB"/>
    <w:rsid w:val="002E694B"/>
    <w:rsid w:val="002E6ECE"/>
    <w:rsid w:val="00304FA2"/>
    <w:rsid w:val="003100DA"/>
    <w:rsid w:val="00310CDE"/>
    <w:rsid w:val="00311FB2"/>
    <w:rsid w:val="00320125"/>
    <w:rsid w:val="00331F43"/>
    <w:rsid w:val="00344285"/>
    <w:rsid w:val="00365A27"/>
    <w:rsid w:val="00374F1A"/>
    <w:rsid w:val="003A351F"/>
    <w:rsid w:val="003B3885"/>
    <w:rsid w:val="003B5C7C"/>
    <w:rsid w:val="003D1D6E"/>
    <w:rsid w:val="003D51F1"/>
    <w:rsid w:val="003E1D52"/>
    <w:rsid w:val="003E4ABA"/>
    <w:rsid w:val="003F3926"/>
    <w:rsid w:val="003F3F78"/>
    <w:rsid w:val="00404CC4"/>
    <w:rsid w:val="00405772"/>
    <w:rsid w:val="00406A1D"/>
    <w:rsid w:val="0042252F"/>
    <w:rsid w:val="004403F1"/>
    <w:rsid w:val="0046584A"/>
    <w:rsid w:val="004922A6"/>
    <w:rsid w:val="004A00E1"/>
    <w:rsid w:val="004A0FD2"/>
    <w:rsid w:val="004A134B"/>
    <w:rsid w:val="004A3AB8"/>
    <w:rsid w:val="004A536C"/>
    <w:rsid w:val="004B1F11"/>
    <w:rsid w:val="004B2948"/>
    <w:rsid w:val="004C065B"/>
    <w:rsid w:val="004D01ED"/>
    <w:rsid w:val="004D6812"/>
    <w:rsid w:val="004D7E67"/>
    <w:rsid w:val="004E0F1B"/>
    <w:rsid w:val="004E147C"/>
    <w:rsid w:val="004E59D1"/>
    <w:rsid w:val="004F1D87"/>
    <w:rsid w:val="00515999"/>
    <w:rsid w:val="00523BBA"/>
    <w:rsid w:val="005241C0"/>
    <w:rsid w:val="00565CC6"/>
    <w:rsid w:val="005B01CA"/>
    <w:rsid w:val="005B0C21"/>
    <w:rsid w:val="005B5350"/>
    <w:rsid w:val="005B642B"/>
    <w:rsid w:val="005C513A"/>
    <w:rsid w:val="005D29C7"/>
    <w:rsid w:val="005D6398"/>
    <w:rsid w:val="005E774C"/>
    <w:rsid w:val="005F1C3E"/>
    <w:rsid w:val="005F6E31"/>
    <w:rsid w:val="006073F7"/>
    <w:rsid w:val="00615BC7"/>
    <w:rsid w:val="00617540"/>
    <w:rsid w:val="0062724D"/>
    <w:rsid w:val="00653164"/>
    <w:rsid w:val="006649F8"/>
    <w:rsid w:val="00667670"/>
    <w:rsid w:val="00673854"/>
    <w:rsid w:val="006760FF"/>
    <w:rsid w:val="00682B8E"/>
    <w:rsid w:val="00692DF7"/>
    <w:rsid w:val="006A273B"/>
    <w:rsid w:val="006A6B7E"/>
    <w:rsid w:val="006C1457"/>
    <w:rsid w:val="006D44B6"/>
    <w:rsid w:val="006D5502"/>
    <w:rsid w:val="006E0822"/>
    <w:rsid w:val="006E608D"/>
    <w:rsid w:val="00712C0D"/>
    <w:rsid w:val="00720DD8"/>
    <w:rsid w:val="00734E7B"/>
    <w:rsid w:val="007457EF"/>
    <w:rsid w:val="00747BBF"/>
    <w:rsid w:val="00756602"/>
    <w:rsid w:val="007603C3"/>
    <w:rsid w:val="00777E22"/>
    <w:rsid w:val="00783C9E"/>
    <w:rsid w:val="007C024A"/>
    <w:rsid w:val="007D0F1F"/>
    <w:rsid w:val="007D54D2"/>
    <w:rsid w:val="007E0184"/>
    <w:rsid w:val="008044FC"/>
    <w:rsid w:val="00816F92"/>
    <w:rsid w:val="00824761"/>
    <w:rsid w:val="00833EB3"/>
    <w:rsid w:val="00834802"/>
    <w:rsid w:val="008647F4"/>
    <w:rsid w:val="00871866"/>
    <w:rsid w:val="00874E8F"/>
    <w:rsid w:val="0088230B"/>
    <w:rsid w:val="008824D5"/>
    <w:rsid w:val="008934F2"/>
    <w:rsid w:val="008A397C"/>
    <w:rsid w:val="008A4340"/>
    <w:rsid w:val="008B2508"/>
    <w:rsid w:val="008B2605"/>
    <w:rsid w:val="008E6C36"/>
    <w:rsid w:val="008F1243"/>
    <w:rsid w:val="008F249C"/>
    <w:rsid w:val="0092421A"/>
    <w:rsid w:val="0092473C"/>
    <w:rsid w:val="00932DB2"/>
    <w:rsid w:val="00935107"/>
    <w:rsid w:val="00953DBB"/>
    <w:rsid w:val="00954640"/>
    <w:rsid w:val="00956D4B"/>
    <w:rsid w:val="00956F05"/>
    <w:rsid w:val="009651BF"/>
    <w:rsid w:val="0097777C"/>
    <w:rsid w:val="00982F69"/>
    <w:rsid w:val="009922A6"/>
    <w:rsid w:val="00995C07"/>
    <w:rsid w:val="009A35ED"/>
    <w:rsid w:val="009B5E2F"/>
    <w:rsid w:val="009D467D"/>
    <w:rsid w:val="009E088D"/>
    <w:rsid w:val="009E1D91"/>
    <w:rsid w:val="009F3A6C"/>
    <w:rsid w:val="009F432B"/>
    <w:rsid w:val="00A065FC"/>
    <w:rsid w:val="00A270C2"/>
    <w:rsid w:val="00A55AC3"/>
    <w:rsid w:val="00A642FC"/>
    <w:rsid w:val="00A6437C"/>
    <w:rsid w:val="00A719D9"/>
    <w:rsid w:val="00A81E51"/>
    <w:rsid w:val="00A91186"/>
    <w:rsid w:val="00AB2AF2"/>
    <w:rsid w:val="00AD1836"/>
    <w:rsid w:val="00AD65D4"/>
    <w:rsid w:val="00AE28BA"/>
    <w:rsid w:val="00AE2AC0"/>
    <w:rsid w:val="00AF4C42"/>
    <w:rsid w:val="00B02C0B"/>
    <w:rsid w:val="00B04933"/>
    <w:rsid w:val="00B113A8"/>
    <w:rsid w:val="00B14131"/>
    <w:rsid w:val="00B15CC3"/>
    <w:rsid w:val="00B16EA2"/>
    <w:rsid w:val="00B278D9"/>
    <w:rsid w:val="00B45799"/>
    <w:rsid w:val="00B47036"/>
    <w:rsid w:val="00B478E7"/>
    <w:rsid w:val="00B5465E"/>
    <w:rsid w:val="00B571F4"/>
    <w:rsid w:val="00B65E73"/>
    <w:rsid w:val="00B7785D"/>
    <w:rsid w:val="00B83D24"/>
    <w:rsid w:val="00B94695"/>
    <w:rsid w:val="00B947B2"/>
    <w:rsid w:val="00BD43AA"/>
    <w:rsid w:val="00BE389F"/>
    <w:rsid w:val="00BE43A1"/>
    <w:rsid w:val="00BF532D"/>
    <w:rsid w:val="00C00A21"/>
    <w:rsid w:val="00C02314"/>
    <w:rsid w:val="00C119B5"/>
    <w:rsid w:val="00C1683B"/>
    <w:rsid w:val="00C1755A"/>
    <w:rsid w:val="00C22776"/>
    <w:rsid w:val="00C3158E"/>
    <w:rsid w:val="00C319E1"/>
    <w:rsid w:val="00C4112F"/>
    <w:rsid w:val="00C41EF8"/>
    <w:rsid w:val="00C57433"/>
    <w:rsid w:val="00C72486"/>
    <w:rsid w:val="00C834DA"/>
    <w:rsid w:val="00C86F90"/>
    <w:rsid w:val="00CA04EF"/>
    <w:rsid w:val="00CB5C46"/>
    <w:rsid w:val="00CB78CE"/>
    <w:rsid w:val="00CD4CE9"/>
    <w:rsid w:val="00CF5B1C"/>
    <w:rsid w:val="00D13403"/>
    <w:rsid w:val="00D157D4"/>
    <w:rsid w:val="00D24750"/>
    <w:rsid w:val="00D506DE"/>
    <w:rsid w:val="00D511DD"/>
    <w:rsid w:val="00D552BF"/>
    <w:rsid w:val="00D746B8"/>
    <w:rsid w:val="00D74840"/>
    <w:rsid w:val="00D82D2F"/>
    <w:rsid w:val="00D915DC"/>
    <w:rsid w:val="00D91EA8"/>
    <w:rsid w:val="00D92D09"/>
    <w:rsid w:val="00DF2933"/>
    <w:rsid w:val="00E12233"/>
    <w:rsid w:val="00E14012"/>
    <w:rsid w:val="00E145F4"/>
    <w:rsid w:val="00E276C1"/>
    <w:rsid w:val="00E55704"/>
    <w:rsid w:val="00E749DA"/>
    <w:rsid w:val="00E76D54"/>
    <w:rsid w:val="00E95034"/>
    <w:rsid w:val="00EA1395"/>
    <w:rsid w:val="00EA4A4F"/>
    <w:rsid w:val="00EA6060"/>
    <w:rsid w:val="00EA6932"/>
    <w:rsid w:val="00EB2628"/>
    <w:rsid w:val="00EB462F"/>
    <w:rsid w:val="00EC2864"/>
    <w:rsid w:val="00EC2EC8"/>
    <w:rsid w:val="00ED7E0B"/>
    <w:rsid w:val="00EE19AE"/>
    <w:rsid w:val="00EE2D4A"/>
    <w:rsid w:val="00F031AC"/>
    <w:rsid w:val="00F12C64"/>
    <w:rsid w:val="00F12DB9"/>
    <w:rsid w:val="00F33239"/>
    <w:rsid w:val="00F6085C"/>
    <w:rsid w:val="00F60A9E"/>
    <w:rsid w:val="00F75B32"/>
    <w:rsid w:val="00F76209"/>
    <w:rsid w:val="00F76B1C"/>
    <w:rsid w:val="00F85A9B"/>
    <w:rsid w:val="00F8734F"/>
    <w:rsid w:val="00F94205"/>
    <w:rsid w:val="00FA075F"/>
    <w:rsid w:val="00FA7EB3"/>
    <w:rsid w:val="00FB568A"/>
    <w:rsid w:val="00FE650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82CE83"/>
  <w15:chartTrackingRefBased/>
  <w15:docId w15:val="{F2EAD2F2-6787-49C1-9410-6A7E81978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19EB"/>
    <w:pPr>
      <w:overflowPunct w:val="0"/>
      <w:autoSpaceDE w:val="0"/>
      <w:autoSpaceDN w:val="0"/>
      <w:bidi/>
      <w:adjustRightInd w:val="0"/>
      <w:spacing w:line="360" w:lineRule="auto"/>
      <w:textAlignment w:val="baseline"/>
    </w:pPr>
    <w:rPr>
      <w:rFonts w:ascii="Century" w:hAnsi="Century" w:cs="FrankRuehl"/>
      <w:spacing w:val="10"/>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link w:val="Ruller30"/>
    <w:rsid w:val="00D506DE"/>
    <w:pPr>
      <w:tabs>
        <w:tab w:val="left" w:pos="3210"/>
        <w:tab w:val="left" w:pos="6753"/>
      </w:tabs>
    </w:pPr>
    <w:rPr>
      <w:sz w:val="22"/>
    </w:rPr>
  </w:style>
  <w:style w:type="paragraph" w:customStyle="1" w:styleId="Pskdinhead">
    <w:name w:val="Pskdin head"/>
    <w:basedOn w:val="a"/>
    <w:rPr>
      <w:b/>
      <w:bCs/>
      <w:u w:val="single"/>
    </w:rPr>
  </w:style>
  <w:style w:type="paragraph" w:customStyle="1" w:styleId="FileNumber">
    <w:name w:val="File Number"/>
    <w:basedOn w:val="a"/>
    <w:pPr>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rPr>
  </w:style>
  <w:style w:type="paragraph" w:customStyle="1" w:styleId="DocumentHead">
    <w:name w:val="Document Head"/>
    <w:basedOn w:val="a"/>
    <w:pPr>
      <w:jc w:val="center"/>
    </w:pPr>
    <w:rPr>
      <w:bCs/>
      <w:spacing w:val="30"/>
      <w:u w:val="single"/>
    </w:rPr>
  </w:style>
  <w:style w:type="paragraph" w:customStyle="1" w:styleId="TfutzaList">
    <w:name w:val="Tfutza List"/>
    <w:basedOn w:val="a"/>
    <w:rPr>
      <w:i/>
      <w:iCs/>
    </w:rPr>
  </w:style>
  <w:style w:type="paragraph" w:customStyle="1" w:styleId="Ruller41">
    <w:name w:val="Ruller4"/>
    <w:basedOn w:val="a"/>
    <w:rsid w:val="00D506DE"/>
    <w:pPr>
      <w:tabs>
        <w:tab w:val="left" w:pos="800"/>
      </w:tabs>
      <w:jc w:val="both"/>
    </w:pPr>
    <w:rPr>
      <w:rFonts w:ascii="Arial TUR" w:hAnsi="Arial TUR"/>
      <w:sz w:val="22"/>
    </w:rPr>
  </w:style>
  <w:style w:type="paragraph" w:customStyle="1" w:styleId="Ruller5">
    <w:name w:val="Ruller5"/>
    <w:basedOn w:val="a"/>
    <w:rsid w:val="00D506DE"/>
    <w:pPr>
      <w:spacing w:line="240" w:lineRule="auto"/>
      <w:ind w:left="1644" w:right="1276"/>
      <w:jc w:val="both"/>
    </w:pPr>
    <w:rPr>
      <w:rFonts w:ascii="Arial TUR" w:hAnsi="Arial TUR"/>
      <w:sz w:val="22"/>
    </w:rPr>
  </w:style>
  <w:style w:type="paragraph" w:customStyle="1" w:styleId="Ruller6">
    <w:name w:val="Ruller6"/>
    <w:basedOn w:val="a"/>
    <w:rsid w:val="00D506DE"/>
    <w:pPr>
      <w:tabs>
        <w:tab w:val="left" w:pos="794"/>
        <w:tab w:val="left" w:pos="2268"/>
        <w:tab w:val="left" w:pos="5783"/>
        <w:tab w:val="left" w:pos="7371"/>
      </w:tabs>
    </w:pPr>
    <w:rPr>
      <w:rFonts w:ascii="Arial TUR" w:hAnsi="Arial TUR" w:cs="DavidFix"/>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pPr>
      <w:tabs>
        <w:tab w:val="center" w:pos="4153"/>
        <w:tab w:val="right" w:pos="8306"/>
      </w:tabs>
    </w:pPr>
  </w:style>
  <w:style w:type="character" w:styleId="a4">
    <w:name w:val="page number"/>
    <w:basedOn w:val="a0"/>
  </w:style>
  <w:style w:type="paragraph" w:styleId="a5">
    <w:name w:val="header"/>
    <w:basedOn w:val="a"/>
    <w:link w:val="a6"/>
    <w:uiPriority w:val="99"/>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link w:val="BodyRuller0"/>
    <w:rsid w:val="00B94695"/>
    <w:rPr>
      <w:sz w:val="22"/>
    </w:rPr>
  </w:style>
  <w:style w:type="paragraph" w:customStyle="1" w:styleId="Ruller38">
    <w:name w:val="סגנון Ruller 3 + (מורכב) ‏8 נק"/>
    <w:basedOn w:val="BodyRuller"/>
    <w:link w:val="Ruller380"/>
    <w:rsid w:val="004D7E67"/>
    <w:rPr>
      <w:szCs w:val="16"/>
    </w:rPr>
  </w:style>
  <w:style w:type="character" w:customStyle="1" w:styleId="Ruller30">
    <w:name w:val="Ruller 3 תו"/>
    <w:link w:val="Ruller3"/>
    <w:rsid w:val="004D7E67"/>
    <w:rPr>
      <w:rFonts w:cs="FrankRuehl"/>
      <w:sz w:val="22"/>
      <w:szCs w:val="28"/>
      <w:lang w:val="en-US" w:eastAsia="en-US" w:bidi="he-IL"/>
    </w:rPr>
  </w:style>
  <w:style w:type="character" w:customStyle="1" w:styleId="BodyRuller0">
    <w:name w:val="Body Ruller תו"/>
    <w:link w:val="BodyRuller"/>
    <w:rsid w:val="00B94695"/>
    <w:rPr>
      <w:rFonts w:cs="David"/>
      <w:sz w:val="22"/>
      <w:szCs w:val="28"/>
      <w:lang w:val="en-US" w:eastAsia="en-US" w:bidi="he-IL"/>
    </w:rPr>
  </w:style>
  <w:style w:type="character" w:customStyle="1" w:styleId="Ruller380">
    <w:name w:val="סגנון Ruller 3 + (מורכב) ‏8 נק תו"/>
    <w:link w:val="Ruller38"/>
    <w:rsid w:val="004D7E67"/>
    <w:rPr>
      <w:rFonts w:cs="David"/>
      <w:sz w:val="22"/>
      <w:szCs w:val="16"/>
      <w:lang w:val="en-US" w:eastAsia="en-US" w:bidi="he-IL"/>
    </w:rPr>
  </w:style>
  <w:style w:type="paragraph" w:customStyle="1" w:styleId="Ruller4">
    <w:name w:val="Ruller 4 ממוספר"/>
    <w:basedOn w:val="Ruller41"/>
    <w:next w:val="Ruller41"/>
    <w:link w:val="Ruller42"/>
    <w:rsid w:val="00956F05"/>
    <w:pPr>
      <w:numPr>
        <w:numId w:val="1"/>
      </w:numPr>
    </w:pPr>
    <w:rPr>
      <w:rFonts w:ascii="Garamond" w:hAnsi="Garamond"/>
      <w:sz w:val="24"/>
    </w:rPr>
  </w:style>
  <w:style w:type="paragraph" w:customStyle="1" w:styleId="Ruller40">
    <w:name w:val="Ruller4 אלפביתי"/>
    <w:basedOn w:val="Ruller41"/>
    <w:next w:val="Ruller41"/>
    <w:rsid w:val="00D511DD"/>
    <w:pPr>
      <w:numPr>
        <w:numId w:val="2"/>
      </w:numPr>
    </w:pPr>
  </w:style>
  <w:style w:type="paragraph" w:styleId="a7">
    <w:name w:val="annotation text"/>
    <w:basedOn w:val="a"/>
    <w:link w:val="a8"/>
    <w:uiPriority w:val="99"/>
    <w:rsid w:val="00180701"/>
    <w:pPr>
      <w:spacing w:line="240" w:lineRule="auto"/>
    </w:pPr>
    <w:rPr>
      <w:rFonts w:ascii="Times New Roman" w:hAnsi="Times New Roman" w:cs="David"/>
      <w:spacing w:val="0"/>
      <w:szCs w:val="20"/>
    </w:rPr>
  </w:style>
  <w:style w:type="character" w:customStyle="1" w:styleId="a8">
    <w:name w:val="טקסט הערה תו"/>
    <w:basedOn w:val="a0"/>
    <w:link w:val="a7"/>
    <w:uiPriority w:val="99"/>
    <w:rsid w:val="00180701"/>
    <w:rPr>
      <w:rFonts w:cs="David"/>
    </w:rPr>
  </w:style>
  <w:style w:type="paragraph" w:styleId="a9">
    <w:name w:val="List Paragraph"/>
    <w:basedOn w:val="a"/>
    <w:link w:val="aa"/>
    <w:uiPriority w:val="34"/>
    <w:qFormat/>
    <w:rsid w:val="00180701"/>
    <w:pPr>
      <w:overflowPunct/>
      <w:autoSpaceDE/>
      <w:autoSpaceDN/>
      <w:adjustRightInd/>
      <w:spacing w:line="240" w:lineRule="auto"/>
      <w:ind w:left="720"/>
      <w:contextualSpacing/>
      <w:textAlignment w:val="auto"/>
    </w:pPr>
    <w:rPr>
      <w:rFonts w:asciiTheme="minorHAnsi" w:eastAsiaTheme="minorHAnsi" w:hAnsiTheme="minorHAnsi" w:cstheme="minorBidi"/>
      <w:spacing w:val="0"/>
      <w:sz w:val="24"/>
      <w:szCs w:val="24"/>
    </w:rPr>
  </w:style>
  <w:style w:type="character" w:customStyle="1" w:styleId="aa">
    <w:name w:val="פיסקת רשימה תו"/>
    <w:basedOn w:val="a0"/>
    <w:link w:val="a9"/>
    <w:uiPriority w:val="34"/>
    <w:rsid w:val="00180701"/>
    <w:rPr>
      <w:rFonts w:asciiTheme="minorHAnsi" w:eastAsiaTheme="minorHAnsi" w:hAnsiTheme="minorHAnsi" w:cstheme="minorBidi"/>
      <w:sz w:val="24"/>
      <w:szCs w:val="24"/>
    </w:rPr>
  </w:style>
  <w:style w:type="character" w:customStyle="1" w:styleId="Ruller42">
    <w:name w:val="Ruller 4 ממוספר תו"/>
    <w:link w:val="Ruller4"/>
    <w:locked/>
    <w:rsid w:val="004A536C"/>
    <w:rPr>
      <w:rFonts w:ascii="Garamond" w:hAnsi="Garamond" w:cs="FrankRuehl"/>
      <w:spacing w:val="10"/>
      <w:sz w:val="24"/>
      <w:szCs w:val="28"/>
    </w:rPr>
  </w:style>
  <w:style w:type="character" w:customStyle="1" w:styleId="a6">
    <w:name w:val="כותרת עליונה תו"/>
    <w:basedOn w:val="a0"/>
    <w:link w:val="a5"/>
    <w:uiPriority w:val="99"/>
    <w:rsid w:val="004A536C"/>
    <w:rPr>
      <w:rFonts w:ascii="Century" w:hAnsi="Century" w:cs="FrankRuehl"/>
      <w:spacing w:val="10"/>
      <w:szCs w:val="28"/>
    </w:rPr>
  </w:style>
  <w:style w:type="character" w:styleId="ab">
    <w:name w:val="annotation reference"/>
    <w:basedOn w:val="a0"/>
    <w:semiHidden/>
    <w:unhideWhenUsed/>
    <w:rsid w:val="00935107"/>
    <w:rPr>
      <w:sz w:val="16"/>
      <w:szCs w:val="16"/>
    </w:rPr>
  </w:style>
  <w:style w:type="paragraph" w:styleId="ac">
    <w:name w:val="annotation subject"/>
    <w:basedOn w:val="a7"/>
    <w:next w:val="a7"/>
    <w:link w:val="ad"/>
    <w:semiHidden/>
    <w:unhideWhenUsed/>
    <w:rsid w:val="00935107"/>
    <w:rPr>
      <w:rFonts w:ascii="Century" w:hAnsi="Century" w:cs="FrankRuehl"/>
      <w:b/>
      <w:bCs/>
      <w:spacing w:val="10"/>
    </w:rPr>
  </w:style>
  <w:style w:type="character" w:customStyle="1" w:styleId="ad">
    <w:name w:val="נושא הערה תו"/>
    <w:basedOn w:val="a8"/>
    <w:link w:val="ac"/>
    <w:semiHidden/>
    <w:rsid w:val="00935107"/>
    <w:rPr>
      <w:rFonts w:ascii="Century" w:hAnsi="Century" w:cs="FrankRuehl"/>
      <w:b/>
      <w:bCs/>
      <w:spacing w:val="10"/>
    </w:rPr>
  </w:style>
  <w:style w:type="paragraph" w:styleId="ae">
    <w:name w:val="Balloon Text"/>
    <w:basedOn w:val="a"/>
    <w:link w:val="af"/>
    <w:semiHidden/>
    <w:unhideWhenUsed/>
    <w:rsid w:val="00935107"/>
    <w:pPr>
      <w:spacing w:line="240" w:lineRule="auto"/>
    </w:pPr>
    <w:rPr>
      <w:rFonts w:ascii="Tahoma" w:hAnsi="Tahoma" w:cs="Tahoma"/>
      <w:sz w:val="18"/>
      <w:szCs w:val="18"/>
    </w:rPr>
  </w:style>
  <w:style w:type="character" w:customStyle="1" w:styleId="af">
    <w:name w:val="טקסט בלונים תו"/>
    <w:basedOn w:val="a0"/>
    <w:link w:val="ae"/>
    <w:semiHidden/>
    <w:rsid w:val="00935107"/>
    <w:rPr>
      <w:rFonts w:ascii="Tahoma" w:hAnsi="Tahoma" w:cs="Tahoma"/>
      <w:spacing w:val="1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6720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5349B6-7708-43CF-9E7A-306B01143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4096</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Court</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אורי שפראך</dc:creator>
  <cp:keywords/>
  <dc:description/>
  <cp:lastModifiedBy>מוטי גולן</cp:lastModifiedBy>
  <cp:revision>2</cp:revision>
  <cp:lastPrinted>2023-07-11T08:40:00Z</cp:lastPrinted>
  <dcterms:created xsi:type="dcterms:W3CDTF">2023-07-12T05:59:00Z</dcterms:created>
  <dcterms:modified xsi:type="dcterms:W3CDTF">2023-07-12T05:59:00Z</dcterms:modified>
</cp:coreProperties>
</file>